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0" w:rsidRDefault="004D4DB0" w:rsidP="004D4DB0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4D4DB0" w:rsidRDefault="004D4DB0" w:rsidP="004D4DB0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4D4DB0" w:rsidRDefault="004D4DB0" w:rsidP="004D4DB0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4D4DB0" w:rsidRDefault="004D4DB0" w:rsidP="004D4DB0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2 квартал 2023 г.</w:t>
      </w:r>
    </w:p>
    <w:p w:rsidR="004D4DB0" w:rsidRDefault="004D4DB0" w:rsidP="004D4DB0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эмитента: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ул.М.Халилова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д.28 кв.32</w:t>
      </w:r>
    </w:p>
    <w:p w:rsidR="004D4DB0" w:rsidRDefault="004D4DB0" w:rsidP="004D4DB0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D4DB0" w:rsidRDefault="004D4DB0" w:rsidP="004D4D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4D4DB0" w:rsidTr="004D4DB0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 15 августа  2023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4D4DB0" w:rsidTr="004D4DB0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 15 августа 2023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4D4DB0" w:rsidRDefault="004D4DB0" w:rsidP="004D4D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4DB0" w:rsidRDefault="004D4DB0" w:rsidP="004D4D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4D4DB0" w:rsidTr="001331F6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Факс:8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DB0" w:rsidRDefault="004D4D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DB0" w:rsidRDefault="004D4D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31F6" w:rsidRDefault="001331F6" w:rsidP="001331F6"/>
    <w:p w:rsidR="008D5AE0" w:rsidRDefault="008D5AE0" w:rsidP="001331F6"/>
    <w:p w:rsidR="008D5AE0" w:rsidRDefault="008D5AE0" w:rsidP="001331F6"/>
    <w:p w:rsidR="008D5AE0" w:rsidRDefault="008D5AE0" w:rsidP="001331F6"/>
    <w:p w:rsidR="008D5AE0" w:rsidRDefault="008D5AE0" w:rsidP="001331F6"/>
    <w:p w:rsidR="008D5AE0" w:rsidRDefault="008D5AE0" w:rsidP="001331F6"/>
    <w:p w:rsidR="008D5AE0" w:rsidRDefault="008D5AE0" w:rsidP="001331F6"/>
    <w:p w:rsidR="008D5AE0" w:rsidRPr="001331F6" w:rsidRDefault="008D5AE0" w:rsidP="001331F6"/>
    <w:p w:rsidR="001331F6" w:rsidRPr="001331F6" w:rsidRDefault="001331F6" w:rsidP="001331F6"/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Оглавление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instrText>TOC</w:instrTex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1.2. Сведения о банковских счетах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1.4. Сведения об оценщике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1.5. Сведения о консультантах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2.3. Обязательства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2.3.2. Кредитная история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2.3.4. Прочие обязательства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III. Подробная информация об эмитенте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3.1. История создания и развитие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3.1.4. Контактная информация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3.1.6. Филиалы и представительства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3.2.1. Отраслевая принадлежность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3.3. Планы будущей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3.6.1. Основные средства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4.3. Финансовые вложения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4.4. Нематериальные активы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5.2.2. Информация о единоличном исполнительном органе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6.1-6.2. Акционеры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7.4. Сведения об учетной политике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8.1. Дополнительные сведения об эмитенте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8.1.6. Сведения о кредитных рейтингах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8.9. Иные сведения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1.1. Лица, входящие в состав органов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851243" w:rsidRPr="00851243" w:rsidTr="00851243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51243" w:rsidRPr="00851243" w:rsidTr="00851243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851243" w:rsidRPr="00851243" w:rsidTr="00851243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851243" w:rsidRPr="00851243" w:rsidTr="00851243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Омаров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851243" w:rsidRPr="00851243" w:rsidTr="00851243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851243" w:rsidRPr="00851243" w:rsidTr="00851243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851243" w:rsidRPr="00851243" w:rsidTr="00851243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851243" w:rsidRPr="00851243" w:rsidTr="00851243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851243" w:rsidRPr="00851243" w:rsidTr="00851243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51243" w:rsidRPr="00851243" w:rsidTr="00851243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1.2. Сведения о банковских счетах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Сведения о кредитной организации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Полное фирменное наименование: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Номер счета: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Корр. счет: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Тип счета: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1.3. Сведения об аудиторе (аудиторах)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Полное фирменное наименование: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Сокращенное фирменное наименование: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Место нахождения: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г. Махачкала, ул.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Батырая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, 56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ИНН: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ОГРН: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1020502632677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Телефон: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89289286020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Факс: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851243" w:rsidRPr="00851243" w:rsidTr="00851243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851243" w:rsidRPr="00851243" w:rsidTr="00851243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Порядок выбора аудитора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финансовой) 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1.4. Сведения об оценщике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1.5. Сведения о консультантах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2.2. Рыночная капитализация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2.3. Обязательства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2.3.1. Заемные средства и кредиторская задолженность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2.3.2. Кредитная история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2.3.4. Прочие обязательства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2.4.1. Отраслевые риски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2.4.2. </w:t>
      </w:r>
      <w:proofErr w:type="spellStart"/>
      <w:r w:rsidRPr="00851243">
        <w:rPr>
          <w:rFonts w:ascii="Times New Roman" w:eastAsia="Times New Roman" w:hAnsi="Times New Roman"/>
          <w:b/>
          <w:bCs/>
          <w:lang w:eastAsia="ru-RU"/>
        </w:rPr>
        <w:t>Страновые</w:t>
      </w:r>
      <w:proofErr w:type="spellEnd"/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 и региональные риски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2.4.3. Финансовые риски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2.4.4. Правовые риски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2.4.5. Риски, связанные с деятельностью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3.1. История создания и развитие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Полное фирменное наименование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Сокращенное фирменное наименование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3.1.2. Сведения о государственной регистрации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Номер государственной регистрации: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государственной регистрации: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Данные о регистрации юридического лица: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Наименование регистрирующего органа: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3.1.3. Сведения о создании и развитии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Эмитент создан на неопределенный срок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 xml:space="preserve">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3.1.4. Контактная информация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Место нахождения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Телефон: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Факс: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3.1.5. Идентификационный номер налогоплательщика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3.1.6. Филиалы и представительства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 Основная хозяйственная деятельность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3.2.1. Отраслевая принадлежность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3.2.2. Основная хозяйственная деятельность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3.2.3. Материалы, товары (сырье) и поставщики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3.2.4. Рынки сбыта продукции (работ, услуг)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Факторы, которые могут негативно повлиять на сбыт эмитентом его продукции (работ, услуг), и 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возможные действия эмитента по уменьшению такого влияния: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3.2.5. Сведения о налич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ии у э</w:t>
      </w:r>
      <w:proofErr w:type="gramEnd"/>
      <w:r w:rsidRPr="00851243">
        <w:rPr>
          <w:rFonts w:ascii="Times New Roman" w:eastAsia="Times New Roman" w:hAnsi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работ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25.06.2021г.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действия разрешения (лицензии) или допуска к отдельным видам </w:t>
      </w: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работ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б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ессрочно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24.01.2021г.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24.01.2027г.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3.3. Планы будущей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3.5. Подконтрольные эмитенту организации, имеющие для него существенное значение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51243" w:rsidRPr="00851243" w:rsidRDefault="00851243" w:rsidP="00851243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3.6.1. Основные средства</w:t>
      </w:r>
      <w:r w:rsidRPr="00851243">
        <w:rPr>
          <w:rFonts w:ascii="Times New Roman" w:eastAsia="Times New Roman" w:hAnsi="Times New Roman"/>
          <w:b/>
          <w:bCs/>
          <w:lang w:eastAsia="ru-RU"/>
        </w:rPr>
        <w:tab/>
      </w:r>
    </w:p>
    <w:p w:rsidR="00851243" w:rsidRPr="00851243" w:rsidRDefault="00851243" w:rsidP="00851243">
      <w:pPr>
        <w:widowControl w:val="0"/>
        <w:tabs>
          <w:tab w:val="left" w:pos="1410"/>
        </w:tabs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За 2022 г.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Единица измерения: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851243" w:rsidRPr="00851243" w:rsidTr="0085124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41465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11442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160451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8744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3345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383486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227007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Отчетная дата: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31.12.2022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 дату окончания отчетного квартала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Единица измерения: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851243" w:rsidRPr="00851243" w:rsidTr="0085124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39043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10486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153219</w:t>
            </w:r>
          </w:p>
        </w:tc>
      </w:tr>
      <w:tr w:rsidR="00851243" w:rsidRPr="00851243" w:rsidTr="00851243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8197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3216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352627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215729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Отчетная дата: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объектов основных средств.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4.3. Финансовые вложения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4.4. Нематериальные активы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За 2022 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Единица измерения: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851243" w:rsidRPr="00851243" w:rsidTr="00851243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51243" w:rsidRPr="00851243" w:rsidTr="00851243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27623</w:t>
            </w:r>
          </w:p>
        </w:tc>
      </w:tr>
      <w:tr w:rsidR="00851243" w:rsidRPr="00851243" w:rsidTr="00851243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851243" w:rsidRPr="00851243" w:rsidTr="00851243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92623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Отчетная дата: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31.12.2022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 дату окончания отчетного квартала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Единица измерения: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851243" w:rsidRPr="00851243" w:rsidTr="00851243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51243" w:rsidRPr="00851243" w:rsidTr="00851243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21973</w:t>
            </w:r>
          </w:p>
        </w:tc>
      </w:tr>
      <w:tr w:rsidR="00851243" w:rsidRPr="00851243" w:rsidTr="00851243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851243" w:rsidRPr="00851243" w:rsidTr="00851243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86973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Отчетная дата: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Нм</w:t>
      </w:r>
      <w:proofErr w:type="spell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.   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сут</w:t>
      </w:r>
      <w:proofErr w:type="spell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сут</w:t>
      </w:r>
      <w:proofErr w:type="spell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.   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4.6.2. Конкуренты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4. Фирма «НЕТЧ» (Германия)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5. АО «Завод «</w:t>
      </w:r>
      <w:proofErr w:type="spellStart"/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Водоприбор</w:t>
      </w:r>
      <w:proofErr w:type="spellEnd"/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»  г. Москва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г. Благовещенск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.М</w:t>
      </w:r>
      <w:proofErr w:type="gramEnd"/>
      <w:r w:rsidRPr="00851243">
        <w:rPr>
          <w:rFonts w:ascii="Times New Roman" w:eastAsia="Times New Roman" w:hAnsi="Times New Roman"/>
          <w:i/>
          <w:sz w:val="20"/>
          <w:szCs w:val="20"/>
          <w:lang w:eastAsia="ru-RU"/>
        </w:rPr>
        <w:t>уром.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13) дробление и консолидация акций;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4.07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4.07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C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ведения</w:t>
      </w:r>
      <w:proofErr w:type="spell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2022г. не выплачивались.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Коллегиальный исполнительный орган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C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ведения</w:t>
      </w:r>
      <w:proofErr w:type="spell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по результатам 2022г. не выплачивались.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Приводится полное описание структуры органов контроля за финансово-хозяйственной деятельностью 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.: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контроля  за</w:t>
      </w:r>
      <w:proofErr w:type="gramEnd"/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ФИО: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851243" w:rsidRPr="00851243" w:rsidTr="00851243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51243" w:rsidRPr="00851243" w:rsidTr="0085124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адиева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Год рождения: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Образование: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51243" w:rsidRPr="00851243" w:rsidTr="00851243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51243" w:rsidRPr="00851243" w:rsidTr="00851243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243" w:rsidRPr="00851243" w:rsidTr="00851243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Доли участия в уставном капитале эмитента/обыкновенных акций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Единица измерения: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C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ведения</w:t>
      </w:r>
      <w:proofErr w:type="spell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информация: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Единица измерения: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851243" w:rsidRPr="00851243" w:rsidTr="0085124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851243" w:rsidRPr="00851243" w:rsidTr="0085124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1 325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23.04.2023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6.2. 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 20 процентами их обыкновенных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ФИО: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ФИО: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Папалашова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ФИО: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Нухова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ФИО: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851243" w:rsidRPr="00851243" w:rsidRDefault="00851243" w:rsidP="00851243"/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6.3. Сведения о доле участия государства или муниципального образования в уставном </w:t>
      </w: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(складочном) капитале (паевом фонде) эмитента, наличии специального права ('золотой акции')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6.7. Сведения о размере дебиторской задолженности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я(</w:t>
      </w:r>
      <w:proofErr w:type="gramEnd"/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7.1. Годовая бухгалтерска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я(</w:t>
      </w:r>
      <w:proofErr w:type="gramEnd"/>
      <w:r w:rsidRPr="00851243">
        <w:rPr>
          <w:rFonts w:ascii="Times New Roman" w:eastAsia="Times New Roman" w:hAnsi="Times New Roman"/>
          <w:b/>
          <w:bCs/>
          <w:lang w:eastAsia="ru-RU"/>
        </w:rPr>
        <w:t>финансовая) отчетность эмитента 2022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Не указывается в данном отчетном квартале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Пояснительная записка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Аудиторское заключение</w:t>
      </w:r>
    </w:p>
    <w:p w:rsidR="00851243" w:rsidRPr="00F639EE" w:rsidRDefault="00851243" w:rsidP="00F639E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</w:t>
      </w:r>
      <w:r w:rsidR="00F639E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стоящему ежеквартальному отчету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851243" w:rsidRPr="00851243" w:rsidRDefault="001125DB" w:rsidP="0085124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Бухгалтерский баланс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на 30.06.2023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851243" w:rsidRPr="00851243" w:rsidTr="00851243">
        <w:tc>
          <w:tcPr>
            <w:tcW w:w="6112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</w:p>
        </w:tc>
      </w:tr>
      <w:tr w:rsidR="00851243" w:rsidRPr="00851243" w:rsidTr="00851243">
        <w:tc>
          <w:tcPr>
            <w:tcW w:w="7672" w:type="dxa"/>
            <w:gridSpan w:val="2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851243" w:rsidRPr="00851243" w:rsidTr="00851243">
        <w:tc>
          <w:tcPr>
            <w:tcW w:w="6112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30.06.2023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Организация: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 ОКВЭД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="001125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,13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собственности: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12200</w:t>
            </w:r>
            <w:r w:rsidR="00851243"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/ 16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Местонахождение (адрес):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851243" w:rsidRPr="00851243" w:rsidTr="00851243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На 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отч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31.12.2022</w:t>
            </w:r>
            <w:r w:rsidR="00851243"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 31.12.2021</w:t>
            </w:r>
            <w:r w:rsidR="00851243"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51243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1243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spacing w:after="0"/>
              <w:jc w:val="right"/>
            </w:pPr>
            <w:r>
              <w:t>109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spacing w:after="0"/>
              <w:jc w:val="right"/>
            </w:pPr>
            <w:r w:rsidRPr="00851243">
              <w:t>118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147404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136906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140702</w:t>
            </w: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1 047</w:t>
            </w: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внеоборотные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289266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196017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194380</w:t>
            </w: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437826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334088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336249</w:t>
            </w: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1125DB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471538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502065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405066</w:t>
            </w: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171558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250612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241151</w:t>
            </w:r>
          </w:p>
        </w:tc>
      </w:tr>
      <w:tr w:rsidR="001125DB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50317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21304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57310</w:t>
            </w: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417FB9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17FB9">
              <w:rPr>
                <w:rFonts w:ascii="Times New Roman" w:eastAsia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343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343</w:t>
            </w: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693980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774324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703870</w:t>
            </w:r>
          </w:p>
        </w:tc>
      </w:tr>
      <w:tr w:rsidR="001125DB" w:rsidRPr="00851243" w:rsidTr="001125D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1125DB" w:rsidRPr="00851243" w:rsidRDefault="001125DB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25DB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1131806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1108412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125DB" w:rsidRPr="00851243" w:rsidRDefault="001125DB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1040119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851243" w:rsidRPr="00851243" w:rsidTr="00851243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Поясне</w:t>
            </w: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 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отч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. дату </w:t>
            </w: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31.12.2022</w:t>
            </w:r>
            <w:r w:rsidR="00851243"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31.12.2021</w:t>
            </w:r>
            <w:r w:rsidR="00851243"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51243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51243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52 783</w:t>
            </w: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Переоценка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внеоборотных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52 013</w:t>
            </w: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3144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3144</w:t>
            </w: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100 649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36801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61984</w:t>
            </w: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210484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144741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169924</w:t>
            </w: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spacing w:after="0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spacing w:after="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spacing w:after="0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spacing w:after="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spacing w:after="0"/>
            </w:pP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19585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13660</w:t>
            </w: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907298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944086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856535</w:t>
            </w:r>
          </w:p>
        </w:tc>
      </w:tr>
      <w:tr w:rsidR="00417FB9" w:rsidRPr="00851243" w:rsidTr="00851243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spacing w:after="0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spacing w:after="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spacing w:after="0"/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spacing w:after="0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spacing w:after="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spacing w:after="0"/>
            </w:pP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921322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963671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870195</w:t>
            </w:r>
          </w:p>
        </w:tc>
      </w:tr>
      <w:tr w:rsidR="00417FB9" w:rsidRPr="00851243" w:rsidTr="00417FB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7FB9" w:rsidRPr="00851243" w:rsidRDefault="00417FB9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1131806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1108412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17FB9" w:rsidRPr="00851243" w:rsidRDefault="00417FB9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1040119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7FB9" w:rsidRDefault="00417FB9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7FB9" w:rsidRDefault="00417FB9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7FB9" w:rsidRDefault="00417FB9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7FB9" w:rsidRDefault="00417FB9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7FB9" w:rsidRPr="00851243" w:rsidRDefault="00417FB9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 о при</w:t>
      </w:r>
      <w:r w:rsidR="00F639E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былях и убытках</w:t>
      </w:r>
      <w:r w:rsidR="00F639E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за январь – июнь  2023</w:t>
      </w:r>
      <w:r w:rsidRPr="008512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851243" w:rsidRPr="00851243" w:rsidTr="00851243">
        <w:tc>
          <w:tcPr>
            <w:tcW w:w="6112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</w:p>
        </w:tc>
      </w:tr>
      <w:tr w:rsidR="00851243" w:rsidRPr="00851243" w:rsidTr="00851243">
        <w:tc>
          <w:tcPr>
            <w:tcW w:w="7672" w:type="dxa"/>
            <w:gridSpan w:val="2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851243" w:rsidRPr="00851243" w:rsidTr="00851243">
        <w:tc>
          <w:tcPr>
            <w:tcW w:w="6112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30.06.2023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Организация: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proofErr w:type="gram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собственности: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Акционерное общество 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ОКОПФ / </w:t>
            </w: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12200</w:t>
            </w:r>
            <w:r w:rsidR="00851243"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/ 16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Единица измерения: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851243" w:rsidRPr="00851243" w:rsidTr="00851243">
        <w:tc>
          <w:tcPr>
            <w:tcW w:w="6112" w:type="dxa"/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Местонахождение (адрес):</w:t>
            </w:r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851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851243" w:rsidRPr="00851243" w:rsidTr="00851243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За аналогичный</w:t>
            </w:r>
          </w:p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Период предыдущего года</w:t>
            </w:r>
          </w:p>
        </w:tc>
      </w:tr>
      <w:tr w:rsidR="00851243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224262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250183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157182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64376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67080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602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F639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56445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65771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707</w:t>
            </w: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49375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45257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4825</w:t>
            </w: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-665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spacing w:after="0"/>
              <w:jc w:val="right"/>
            </w:pPr>
            <w:r>
              <w:t>-965</w:t>
            </w: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F639EE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965</w:t>
            </w: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3860</w:t>
            </w: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внеоборотных</w:t>
            </w:r>
            <w:proofErr w:type="spellEnd"/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F639E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EE" w:rsidRPr="00851243" w:rsidTr="0085124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39EE" w:rsidRPr="00851243" w:rsidRDefault="00F639EE" w:rsidP="0085124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39EE" w:rsidRPr="002774D4" w:rsidRDefault="00F639EE" w:rsidP="008077E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51243" w:rsidRPr="00851243" w:rsidRDefault="00851243" w:rsidP="008D5AE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Не указывается в данном отчетном квартале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7.4. Сведения об учетной политике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8.1. Дополнительные сведения об эмитенте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8.1.1. Сведения о размере, структуре уставного (складочного) капитала (паевого фонда)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Обыкновенные акции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Общая номинальная стоимость: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Размер доли в УК,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Привилегированные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Общая номинальная стоимость: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Размер доли в УК, %: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</w:t>
      </w: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процентами обыкновенных акций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За 2022 г.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 совершалась 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За отчетный квартал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 совершалась 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8.1.6. Сведения о кредитных рейтингах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8.2. Сведения о каждой категории (типе) акций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Категория </w:t>
      </w:r>
      <w:proofErr w:type="spell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акций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Номинальная стоимость каждой акции (руб.):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отношении</w:t>
      </w:r>
      <w:proofErr w:type="gramEnd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Количество объявленных акций: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851243" w:rsidRPr="00851243" w:rsidTr="00851243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851243" w:rsidRPr="00851243" w:rsidTr="00851243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51243" w:rsidRPr="00851243" w:rsidRDefault="00851243" w:rsidP="0085124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8.3. Сведения о предыдущих выпусках эмиссионных ценных бумаг эмитента, за </w:t>
      </w:r>
      <w:r w:rsidRPr="00851243">
        <w:rPr>
          <w:rFonts w:ascii="Times New Roman" w:eastAsia="Times New Roman" w:hAnsi="Times New Roman"/>
          <w:b/>
          <w:bCs/>
          <w:lang w:eastAsia="ru-RU"/>
        </w:rPr>
        <w:lastRenderedPageBreak/>
        <w:t>исключением акций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Сведения о регистраторе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Полное фирменное наименование: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Сокращенное фирменное наименование: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Место нахождения: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ИНН: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ОГРН: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Номер: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выдачи: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 окончания действия: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органа, выдавшего лицензию: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, 71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8.8. 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В течение указанного периода решений о выплате дивидендов эмитентом не принималось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>8.9. Иные сведения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851243">
        <w:rPr>
          <w:rFonts w:ascii="Times New Roman" w:eastAsia="Times New Roman" w:hAnsi="Times New Roman"/>
          <w:b/>
          <w:bCs/>
          <w:lang w:eastAsia="ru-RU"/>
        </w:rPr>
        <w:t>собственности</w:t>
      </w:r>
      <w:proofErr w:type="gramEnd"/>
      <w:r w:rsidRPr="00851243">
        <w:rPr>
          <w:rFonts w:ascii="Times New Roman" w:eastAsia="Times New Roman" w:hAnsi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8512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851243" w:rsidRPr="00851243" w:rsidRDefault="00851243" w:rsidP="008512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243" w:rsidRPr="00851243" w:rsidRDefault="00851243" w:rsidP="00851243"/>
    <w:p w:rsidR="00851243" w:rsidRPr="00851243" w:rsidRDefault="00851243" w:rsidP="00851243"/>
    <w:p w:rsidR="00851243" w:rsidRPr="00851243" w:rsidRDefault="00851243" w:rsidP="00851243"/>
    <w:p w:rsidR="00851243" w:rsidRPr="00851243" w:rsidRDefault="00851243" w:rsidP="00851243">
      <w:pPr>
        <w:rPr>
          <w:rFonts w:asciiTheme="minorHAnsi" w:eastAsiaTheme="minorHAnsi" w:hAnsiTheme="minorHAnsi" w:cstheme="minorBidi"/>
        </w:rPr>
      </w:pPr>
    </w:p>
    <w:p w:rsidR="00D45471" w:rsidRPr="004D4DB0" w:rsidRDefault="00D45471" w:rsidP="004D4DB0">
      <w:pPr>
        <w:widowControl w:val="0"/>
        <w:autoSpaceDE w:val="0"/>
        <w:autoSpaceDN w:val="0"/>
        <w:adjustRightInd w:val="0"/>
        <w:spacing w:before="360"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45471" w:rsidRPr="004D4D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4F" w:rsidRDefault="009E004F" w:rsidP="00851243">
      <w:pPr>
        <w:spacing w:after="0" w:line="240" w:lineRule="auto"/>
      </w:pPr>
      <w:r>
        <w:separator/>
      </w:r>
    </w:p>
  </w:endnote>
  <w:endnote w:type="continuationSeparator" w:id="0">
    <w:p w:rsidR="009E004F" w:rsidRDefault="009E004F" w:rsidP="0085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2776"/>
      <w:docPartObj>
        <w:docPartGallery w:val="Page Numbers (Bottom of Page)"/>
        <w:docPartUnique/>
      </w:docPartObj>
    </w:sdtPr>
    <w:sdtEndPr/>
    <w:sdtContent>
      <w:p w:rsidR="00851243" w:rsidRDefault="00851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12">
          <w:rPr>
            <w:noProof/>
          </w:rPr>
          <w:t>1</w:t>
        </w:r>
        <w:r>
          <w:fldChar w:fldCharType="end"/>
        </w:r>
      </w:p>
    </w:sdtContent>
  </w:sdt>
  <w:p w:rsidR="00851243" w:rsidRDefault="00851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4F" w:rsidRDefault="009E004F" w:rsidP="00851243">
      <w:pPr>
        <w:spacing w:after="0" w:line="240" w:lineRule="auto"/>
      </w:pPr>
      <w:r>
        <w:separator/>
      </w:r>
    </w:p>
  </w:footnote>
  <w:footnote w:type="continuationSeparator" w:id="0">
    <w:p w:rsidR="009E004F" w:rsidRDefault="009E004F" w:rsidP="00851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B0"/>
    <w:rsid w:val="00066AD5"/>
    <w:rsid w:val="001125DB"/>
    <w:rsid w:val="001331F6"/>
    <w:rsid w:val="00417FB9"/>
    <w:rsid w:val="004D4DB0"/>
    <w:rsid w:val="00851243"/>
    <w:rsid w:val="008D5AE0"/>
    <w:rsid w:val="009E004F"/>
    <w:rsid w:val="00A07012"/>
    <w:rsid w:val="00D45471"/>
    <w:rsid w:val="00F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31F6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1F6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1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31F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31F6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331F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31F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331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331F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1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31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1331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31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331F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31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331F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31F6"/>
  </w:style>
  <w:style w:type="paragraph" w:styleId="a3">
    <w:name w:val="header"/>
    <w:basedOn w:val="a"/>
    <w:link w:val="a4"/>
    <w:unhideWhenUsed/>
    <w:rsid w:val="00133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3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31F6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1331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1331F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3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1331F6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1331F6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1331F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1F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331F6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331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331F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331F6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1331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331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1331F6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1331F6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1331F6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1331F6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1331F6"/>
    <w:rPr>
      <w:rFonts w:ascii="Tahoma" w:hAnsi="Tahoma" w:cs="Tahoma" w:hint="default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851243"/>
  </w:style>
  <w:style w:type="numbering" w:customStyle="1" w:styleId="110">
    <w:name w:val="Нет списка11"/>
    <w:next w:val="a2"/>
    <w:uiPriority w:val="99"/>
    <w:semiHidden/>
    <w:unhideWhenUsed/>
    <w:rsid w:val="00851243"/>
  </w:style>
  <w:style w:type="numbering" w:customStyle="1" w:styleId="212">
    <w:name w:val="Нет списка21"/>
    <w:next w:val="a2"/>
    <w:uiPriority w:val="99"/>
    <w:semiHidden/>
    <w:unhideWhenUsed/>
    <w:rsid w:val="0085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31F6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1F6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1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31F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31F6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331F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31F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331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331F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1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31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1331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31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331F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31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331F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31F6"/>
  </w:style>
  <w:style w:type="paragraph" w:styleId="a3">
    <w:name w:val="header"/>
    <w:basedOn w:val="a"/>
    <w:link w:val="a4"/>
    <w:unhideWhenUsed/>
    <w:rsid w:val="00133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3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31F6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1331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1331F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3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1331F6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1331F6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1331F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1F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331F6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331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331F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331F6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3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1331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331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1331F6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1331F6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1331F6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1331F6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1331F6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1331F6"/>
    <w:rPr>
      <w:rFonts w:ascii="Tahoma" w:hAnsi="Tahoma" w:cs="Tahoma" w:hint="default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851243"/>
  </w:style>
  <w:style w:type="numbering" w:customStyle="1" w:styleId="110">
    <w:name w:val="Нет списка11"/>
    <w:next w:val="a2"/>
    <w:uiPriority w:val="99"/>
    <w:semiHidden/>
    <w:unhideWhenUsed/>
    <w:rsid w:val="00851243"/>
  </w:style>
  <w:style w:type="numbering" w:customStyle="1" w:styleId="212">
    <w:name w:val="Нет списка21"/>
    <w:next w:val="a2"/>
    <w:uiPriority w:val="99"/>
    <w:semiHidden/>
    <w:unhideWhenUsed/>
    <w:rsid w:val="0085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13189</Words>
  <Characters>75179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2023-08-15T12:42:00Z</dcterms:created>
  <dcterms:modified xsi:type="dcterms:W3CDTF">2023-08-21T11:52:00Z</dcterms:modified>
</cp:coreProperties>
</file>