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9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Е Ж Е К В А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Т А Л Ь Н Ы Й  О Т Ч Е 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60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32"/>
          <w:szCs w:val="32"/>
          <w:lang w:eastAsia="ru-RU"/>
        </w:rPr>
        <w:t xml:space="preserve"> Акционерное общество "Завод им. Гаджиева"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120" w:after="4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Код эмитента: 31312-E</w:t>
      </w:r>
    </w:p>
    <w:p w:rsidR="00B54F1A" w:rsidRPr="00B54F1A" w:rsidRDefault="007516B2" w:rsidP="00B54F1A">
      <w:pPr>
        <w:widowControl w:val="0"/>
        <w:autoSpaceDE w:val="0"/>
        <w:autoSpaceDN w:val="0"/>
        <w:adjustRightInd w:val="0"/>
        <w:spacing w:before="360" w:after="4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за 4</w:t>
      </w:r>
      <w:r w:rsidR="00B54F1A" w:rsidRPr="00B54F1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2023 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840" w:after="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4F1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эмитента:</w:t>
      </w:r>
      <w:r w:rsidRPr="00B5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368305,  Россия, Республика Дагестан, г. Каспийск,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ул.М.Халилова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д.28 кв.32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600"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572"/>
        <w:gridCol w:w="3680"/>
      </w:tblGrid>
      <w:tr w:rsidR="00B54F1A" w:rsidRPr="00B54F1A" w:rsidTr="00B54F1A">
        <w:tc>
          <w:tcPr>
            <w:tcW w:w="55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  <w:p w:rsidR="00B54F1A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февраля  2024</w:t>
            </w:r>
            <w:r w:rsidR="00B54F1A"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А.Я.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  <w:tr w:rsidR="00B54F1A" w:rsidRPr="00B54F1A" w:rsidTr="00B54F1A">
        <w:tc>
          <w:tcPr>
            <w:tcW w:w="557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1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</w:t>
            </w:r>
          </w:p>
          <w:p w:rsidR="00B54F1A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Дата: 15 февраля 2024</w:t>
            </w:r>
            <w:r w:rsidR="00B54F1A"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____________ И.Д.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Куребеков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  <w:t>подпись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8510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9255"/>
        <w:gridCol w:w="9255"/>
      </w:tblGrid>
      <w:tr w:rsidR="00B54F1A" w:rsidRPr="00B54F1A" w:rsidTr="00B54F1A">
        <w:tc>
          <w:tcPr>
            <w:tcW w:w="92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Контактное лицо: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Баштакаева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Наврат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Магомедалиевна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</w:t>
            </w: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Телефон:8</w:t>
            </w:r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99-95-25</w:t>
            </w: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Факс:8</w:t>
            </w:r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(8722) 68-13-79</w:t>
            </w: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почты:</w:t>
            </w:r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oaozg-marketing@yandex.ru</w:t>
            </w:r>
          </w:p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страницы (страниц) в сети Интернет, на которой раскрывается информация, содержащаяся в настоящем ежеквартальном отчете:</w:t>
            </w:r>
            <w:r w:rsidRPr="00B54F1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www.e-disclosure.ru/portal/company.aspx?id=3533</w:t>
            </w:r>
          </w:p>
        </w:tc>
        <w:tc>
          <w:tcPr>
            <w:tcW w:w="925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54F1A" w:rsidRPr="00B54F1A" w:rsidRDefault="00B54F1A" w:rsidP="00B54F1A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734628" w:rsidP="00734628">
      <w:pPr>
        <w:tabs>
          <w:tab w:val="left" w:pos="5880"/>
        </w:tabs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B54F1A" w:rsidRPr="00B54F1A" w:rsidRDefault="00B54F1A" w:rsidP="00B54F1A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Оглавление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>TOC</w:instrTex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1.1. Лица, входящие в состав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Сведения о банковских счетах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1.3. Сведения об аудиторе (аудиторах)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1.4. Сведения об оценщике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1.5. Сведения о консультантах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1.6. Сведения об иных лицах, подписавших ежеквартальный отчет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II. Основная информация о финансово-экономическом состоянии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2.1. Показатели финансово-экономической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2.3. Обязательства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Заемные средства и кредиторская задолженность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2.3.2. Кредитная история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2.3.3. Обязательства эмитента из обеспечения, предоставленного третьим лицам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2.3.4. Прочие обязательства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III. Подробная информация об эмитенте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 История создания и развитие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 Данные о фирменном наименовании (наименовании)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 Сведения о государственной регистрации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3.1.3. Сведения о создании и развитии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3.1.4. Контактная информация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3.1.5. Идентификационный номер налогоплательщика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3.1.6. Филиалы и представительства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 Основная хозяйственная деятельность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 Отраслевая принадлежность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3.2.2. Основная хозяйственная деятельность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3.2.3. Материалы, товары (сырье) и поставщики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3.2.4. Рынки сбыта продукции (работ, услуг)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3.2.5. Сведения о наличии у эмитента разрешений (лицензий) или допусков к отдельным видам работ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3.2.6. Сведения о деятельности отдельных категорий эмитентов эмиссионных ценных бумаг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3.3. Планы будущей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3.5. Подконтрольные эмитенту организации, имеющие для него существенное значение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3.6.1. Основные средства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IV. Сведения о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4.1. Результаты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Ликвидность эмитента, достаточность капитала и оборотных средств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4.3. Финансовые вложения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4.4. Нематериальные активы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4.6. Анализ тенденций развития в сфере основной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V. Подробные сведения о лицах, входящих в состав органов управления эмитента, органов эмитента по контролю за его финансово-хозяйственной деятельностью, и краткие сведения о сотрудниках (работниках)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5.1. Сведения о структуре и компетенции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Информация о лицах, входящих в состав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Состав совета директоров (наблюдательного совета)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Информация о единоличном исполнительном органе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Состав коллегиального исполнительного органа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5.4.Сведения о структуре и компетенции органов контроля за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5.5. Информация о лицах, входящих в состав органов контроля за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5.6. Сведения о размере вознаграждения, льгот и/или компенсации расходов по органу контроля за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6.1-6.2. Акционеры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6.1. Сведения об общем количестве акционеров (участников)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6.2. 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менее чем 20 процентами уставного (складочного) капитала (паевого фонда) или не менее чем 20 процентами их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6.5.Сведения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6.7. Сведения о размере дебиторской задолженности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VII. Бухгалтерская(финансовая) отчетность эмитента и иная финансовая информация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Годовая бухгалтерская(финансовая) отчетность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7.2. Квартальная бухгалтерская (финансовая) отчетность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7.3. Сводная бухгалтерская (консолидированная финансовая) отчетность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7.4. Сведения об учетной политике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 Дополнительные сведения об эмитенте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8.1.5. Сведения о существенных сделках, совершенных эмитентом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8.1.6. Сведения о кредитных рейтингах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8.2. Сведения о каждой категории (типе) акций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8.3.Сведения о предыдущих выпусках эмиссионных ценных бумаг эмитента, за исключением акций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Сведения о выпусках, все ценные бумаги которых погашены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8.3.2. Сведения о выпусках, ценные бумаги которых не являются погашенными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8.6.Сведения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8.8. Сведения об объявленных (начисленных) и о выплаченных дивидендах по акциям эмитента, а также о доходах по облигациям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8.8.1. Сведения об объявленных и выплаченных дивидендах по акциям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8.8.2. Сведения о начисленных и выплаченных доходах по облигациям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8.9. Иные сведения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8.10. Сведения о представляемых ценных бумагах и эмитенте представляемых ценных бумаг, право собственности на которые удостоверяется российскими депозитарными расписками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Аудиторское заключение к годовой бухгалтерской(финансовой) отчетности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к ежеквартальному отчету. Пояснительная записка к годовой бухгалтерской(финансовой) отчетности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Основания возникновения у эмитента обязанности осуществлять раскрытие информации в форме ежеквартального отчета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Информация, содержащаяся в настоящем ежеквартальном отчете, подлежит раскрытию в соответствии с законодательством Российской Федерации о ценных бумагах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Настоящий ежеквартальный отчет содержит оценки и прогнозы уполномоченных органов управления эмитента касательно будущих событий и/или действий, перспектив развития отрасли экономики, в которой эмитент осуществляет основную деятельность, и результатов деятельности эмитента, в том числе планов эмитента, вероятности наступления определенных событий и совершения определенных действий. Инвесторы не должны полностью полагаться на оценки и прогнозы органов управления эмитента, так как фактические результаты деятельности эмитента в будущем могут отличаться от прогнозируемых результатов по многим причинам. Приобретение ценных бумаг эмитента связано с рисками, описанными в настоящем ежеквартальном отчете.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Краткие сведения о лицах, входящих в состав органов управления эмитента, сведения о банковских счетах, об аудиторе, оценщике и о финансовом консультанте эмитента, а также об иных лицах, подписавших ежеквартальный отчет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1.1. Лица, входящие в состав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совета директоров (наблюдательного совета) эмитента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5"/>
        <w:gridCol w:w="1500"/>
      </w:tblGrid>
      <w:tr w:rsidR="00B54F1A" w:rsidRPr="00B54F1A" w:rsidTr="00B54F1A">
        <w:tc>
          <w:tcPr>
            <w:tcW w:w="775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Штибеков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Надир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Рамазанович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Омаров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Махач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Гасангусейнович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1951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Матвеенко Евгений Владимирович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1959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Исмаилов Магомед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Абакарович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1955</w:t>
            </w:r>
          </w:p>
        </w:tc>
      </w:tr>
      <w:tr w:rsidR="00B54F1A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Бабаев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НурбекАбдурашидович</w:t>
            </w:r>
            <w:proofErr w:type="spell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(председатель)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1949</w:t>
            </w:r>
          </w:p>
        </w:tc>
      </w:tr>
      <w:tr w:rsidR="00B54F1A" w:rsidRPr="00B54F1A" w:rsidTr="007516B2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Шипилова Елена Федоровна</w:t>
            </w: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1953</w:t>
            </w:r>
          </w:p>
        </w:tc>
      </w:tr>
      <w:tr w:rsidR="007516B2" w:rsidRPr="00B54F1A" w:rsidTr="007516B2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7516B2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Султанматов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Султансаид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Идзиевич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7516B2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1957</w:t>
            </w:r>
          </w:p>
        </w:tc>
      </w:tr>
      <w:tr w:rsidR="007516B2" w:rsidRPr="00B54F1A" w:rsidTr="00B54F1A">
        <w:tc>
          <w:tcPr>
            <w:tcW w:w="775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7516B2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Магомед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Насрулаевич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7516B2" w:rsidRPr="00B54F1A" w:rsidRDefault="007516B2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1956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Единоличный исполнительный орган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7752"/>
        <w:gridCol w:w="1500"/>
      </w:tblGrid>
      <w:tr w:rsidR="00B54F1A" w:rsidRPr="00B54F1A" w:rsidTr="00B54F1A">
        <w:tc>
          <w:tcPr>
            <w:tcW w:w="775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5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</w:t>
            </w:r>
          </w:p>
        </w:tc>
      </w:tr>
      <w:tr w:rsidR="00B54F1A" w:rsidRPr="00B54F1A" w:rsidTr="00B54F1A">
        <w:tc>
          <w:tcPr>
            <w:tcW w:w="775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ПапалашовАбдулвагабЯхьяевич</w:t>
            </w:r>
            <w:proofErr w:type="spellEnd"/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1947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 коллегиального исполнительного органа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1.2. Сведения о банковских счетах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кредитной организации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ПАО ”Банк ВТБ” г. Москва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БИК 044525187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счета: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40702810300000010899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Корр. счет: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30101810700000000187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Тип счета: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расчётный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1.3. Сведения об аудиторе (аудиторах)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об аудиторе (аудиторах), осуществляющем (осуществившем) независимую проверку бухгалтерской (финансовой) отчетности эмитента, а также сводной бухгалтерской (консолидированной финансовой) отчетности эмитента и (или) группы организаций, являющихся по отношению друг к другу контролирующим и подконтрольным лицами либо обязанных составлять такую отчетность по иным основаниям и в порядке, которые предусмотрены федеральными законами, если хотя бы одной из указанных организаций является эмитент (далее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–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сводная бухгалтерская (консолидированная финансовая) отчетность эмитента), входящей в состав ежеквартального отчета, на основании заключенного с ним договора, а также об аудиторе (аудиторах), утвержденном (выбранном) для аудита годовой бухгалтерской (финансовой) отчетности эмитента, в том числе его сводной бухгалтерской (консолидированной финансовой) отчетности, за текущий и последний завершенный финансовый год.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ОО Ау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диторская компания "ПРОФАУДИТ"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Махачкала, ул.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Батырая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56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0562008738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1020502632677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89289286020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Адреса электронной почты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членстве аудитора в саморегулируемых организациях аудиторов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не является членом саморегулируемой организац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диторов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Финансовый год (годы) из числа последних пяти завершенных финансовых лет и текущего финансового года, за который (за которые) аудитором проводилась (будет проводиться) независимая проверка годовой бухгалтерской (финансовой) отчетности эмитента</w:t>
      </w: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2"/>
        <w:gridCol w:w="2520"/>
        <w:gridCol w:w="2520"/>
      </w:tblGrid>
      <w:tr w:rsidR="00B54F1A" w:rsidRPr="00B54F1A" w:rsidTr="00B54F1A">
        <w:tc>
          <w:tcPr>
            <w:tcW w:w="25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Бухгалтерская (финансовая)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Сводная бухгалтерская отчетность, Год</w:t>
            </w:r>
          </w:p>
        </w:tc>
        <w:tc>
          <w:tcPr>
            <w:tcW w:w="252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Консолидированная финансовая отчетность, Год</w:t>
            </w:r>
          </w:p>
        </w:tc>
      </w:tr>
      <w:tr w:rsidR="00B54F1A" w:rsidRPr="00B54F1A" w:rsidTr="00B54F1A">
        <w:tc>
          <w:tcPr>
            <w:tcW w:w="25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9450D1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2023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оказать влияние на независимость аудитора от эмитента, в том числе информация о наличии существенных интересов, связывающих аудитора (должностных лиц аудитора) с эмитентом (должностными лицами эмитента)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Факторов, которые могут оказать влияние на независимость аудитора от эмитента, а также существенных интересов, связывающих аудитора (должностных лиц аудитора) с эмитентом (должностными лицами эмитента),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выбора аудитора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процедуры тендера, связанного с выбором аудитора, и его основные условия: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Аудитор утверждается годовым Общим собранием акционеров на основании предложений Совета директоров в соответствии с действующим законодательством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Процедура выдвижения кандидатуры аудитора для утверждения собранием акционеров (участников), в том числе орган управления, принимающий соответствующее решение: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работах, проводимых аудитором в рамках специальных аудиторских заданий: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 аудитором заключен договор №01 о проведен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ии ау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диторской проверки финансово-хозяйственной деятельности эмитента от 06.03.2015г. Аудитор даёт заключение по финансовым отчётам, проводит текущее консультирование по вопросам бухгалтерского учёта, налогообложения, общее юридическое консультирование, защита интересов в органах арбитража и суда и др.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порядок определения размера вознаграждения аудитора, указывается фактический размер вознаграждения, выплаченного эмитентом аудитору по итогам последнего завершенного финансового года, за который аудитором проводилась независимая проверка бухгалтерской (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финансовой) 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отчетности эмитента, приводится информация о наличии отсроченных и просроченных платежей за оказанные аудитором услуги: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Согласно договора окончательная оплата производится заказчиком в течени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дней по завершению проверки, предоставления аудиторского заключения и подписания акта приёма-сдачи выполненных работ.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информация о наличии отсроченных и просроченных платежей за оказанные аудитором услуги: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1.4. Сведения об оценщике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Оценщики по основаниям, перечисленным в настоящем пункте, в течение 12 месяцев до даты окончания отчетного квартала не привлекались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1.5. Сведения о консультантах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Финансовые консультанты по основаниям, перечисленным в настоящем пункте, в течение 12 месяцев до даты окончания отчетного квартала не привлекались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1.6. Сведения об иных лицах, подписавших ежеквартальный отчет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Иных подписей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Основная информация о финансово-экономическом состоянии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2.1. Показатели финансово-экономической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2.2. Рыночная капитализация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эмитентами, обыкновенные именные акции которых не допущены к обращению организатором торговли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2.3. Обязательства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2.3.1. Заемные средства и кредиторская задолженность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2.3.2. Кредитная история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Описывается исполнение эмитентом обязательств по действовавшим в течение последнего завершенного финансового года и текущего финансового года кредитным договорам и/или договорам займа, в том числе заключенным путем выпуска и продажи облигаций, сумма основного долга по которым составляла 5 и более процентов балансовой стоимости активов эмитента на дату окончания последнего завершенного отчетного периода (квартала, года), предшествовавшего заключению соответствующего договора, в отношении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истек установленный срок представления бухгалтерской (финансовой) отчетности, а также иным кредитным договорам и/или договорам займа, которые эмитент считает для себя существенными.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имел указанных обязательств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2.3.3. Обязательства эмитента из обеспечения, предоставленного третьим лицам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обязательства отсутствуют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2.3.4. Прочие обязательства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Прочих обязательств, не отраженных в бухгалтерской (финансовой) отчетности, которые могут существенно отразиться на финансовом состоянии эмитента, его ликвидности, источниках финансирования и условиях их использования, результатах деятельности и расходов, не имеется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2.4. Риски, связанные с приобретением размещаемых (размещенных) эмиссионных ценных бумаг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Политика эмитента в области управления рисками: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2.4.1. Отраслевые риски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Влияние возможного ухудшения ситуации в отрасли предприятия на его деятельность и выпуск продукции незначительно.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2.4.2.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Страновые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и региональные риски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ближайшее время не прогнозирует отрицательных изменений в России, которые могут негативно повлиять на экономическое положение общества и его деятельность.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 Прогнозируемый рост ВРП, рост производства в Дагестанском регионе даёт основания делать положительный прогноз в отношении развития общества.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Общество оценивает  политическую и экономическую ситуацию в регионе как стабильную.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2.4.3. Финансовые риски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Подразумевает риск ненадлежащего выполнения должниками обязательств по оплате. Некоторые заказчики и арендаторы нарушают свои договорные обязательства по срокам оплаты.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2.4.4. Правовые риски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Законодательство Российской Федерации - развивающееся законодательство, следовательно, нельзя полностью исключить риск изменений в более неблагоприятную сторону, например, в налоговом законодательстве, законодательстве о лицензировании, судебной практике, что может отразиться на результатах деятельности предприятия.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Изменение налогового законодательства, в части увеличения налоговых ставок или изменения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порядка и сроков расчета и уплаты налогов, может привести к уменьшению чистой прибыли предприятия, что в свою очередь приведет к снижению размера выплачиваемых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     За истекший квартал не произошло никаких существенных изменений валютного, налогового, таможенного и иного законодательства, которые могли бы привести к возникновению правовых рисков для АО "Завод им. Гаджиева".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2.4.5. Риски, связанные с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настоящее время АО "Завод им. Гаджиева" не подвержено рискам, связанным с текущими процессами, а также с возможностью лишения лицензий на осуществление основных видов производственной деятельности.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Подробная информация об эмитенте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 История создания и развитие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3.1.1. Данные о фирменном наименовании (наименовании)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Акционерное общество "Завод им. Гаджиева"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полного фирменного наименования: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"Завод им. Гаджиева"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введения действующего сокращенного фирменного наименования: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13.05.2016г.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Все предшествующие наименования эмитента в течение времени его существования 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 Наименование эмитента в течение времени его существования поменялось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13.05.2016г. ОАО «Завод им. Гаджиева» поменяло наименование  на  АО «Завод им. Гаджиева».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3.1.2. Сведения о государственной регистрации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первичной государственной регистрации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государственной регистрации: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государственной регистрации: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11.02.1993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осуществившего государственную регистрацию: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Ленинский райсовет Народных депутатов г. Махачкала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регистрации юридического лица: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государственный регистрационный номер юридического лица: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1020502524130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внесения записи о юридическом лице, зарегистрированном до 1 июля 2002 года, в единый государственный реестр юридических лиц: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29.10.2002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регистрирующего органа: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Инспекция МНС по Ленинскому району г. Махачкала РД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3.1.3. Сведения о создании и развитии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Эмитент создан на неопределенный срок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Краткое описание истории создания и развития эмитента. Цели создания эмитента, миссия эмитента (при наличии), и иная информация о деятельности эмитента, имеющая значение для принятия решения о приобретении ценных бумаг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Завод им. Гаджиева является первенцем Дагестанской промышленности, создан в годы первой пятилетки как база для становления народного хозяйства республики. 7 ноября 1932 года является днем рождения завода. В довоенный период завод специализировался как ремонтно-механический. В годы Великой Отечественной войны основной продукцией стала военная - противотанковые снаряды, мины, ремонт военной техники, начал выпускать продукцию для нужд морского флота: рулевые машины, якорные лебедки и др.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 декабре 1942г. заводу было присвоено имя Героя Советского Союза, капитана II ранга Магомеда Гаджиева.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Открытое акционерное общество "Завод им. Гаджиева" учреждено в соответствии с Законом РСФСР от 3 июля 1991 года "О приватизации государственных и муниципальных предприятий" и Указом Президента Российской Федерации от 1 июля 1992 года №721 "Об организационных мерах по преобразованию государственных предприятий в "Акционерные общества". Общество является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правопреемником государственного предприятия "Завод им. Гаджиева".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Являясь машиностроительным предприятием, входящим  в Федеральное агентство по промышленности РФ, на протяжении многих десятилетий и в настоящее время является ведущим в России и СНГ разработчиком, производителем и поставщиком различного оборудования для многих отраслей народного хозяйства, насосов,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разлияной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трубопроводной арматуры, поворотных затворов, гибких металлических шлангов.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Завод обеспечивает не только нефтегазовый и народно-хозяйственный рынок, но и работает для оборонной промышленности страны.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Сегодня завод сохранил необходимые производственные мощности и высококвалифицированные кадры инженерно-технических работников и цеховых рабочих, что позволяет обеспечить высокое качество выпускаемых изделий и требуемые объемы их производства.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3.1.4. Контактная информация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368305 г. Каспийск  ул. М. Халилова д.28  кв.32.  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Фактический адрес: 367013 Россия, Республика Дагестан г. Махачкала, Юсупова 51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68-13-66, 68-13-63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Факс: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8-720-68-13-79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aozg@mail.ru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страницы (страниц) в сети Интернет, на которой (на которых) доступна информация об эмитенте, выпущенных и/или выпускаемых им ценных бумагах: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www.e-disclosure.ru/portal/company.aspx?id=3533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3.1.5. Идентификационный номер налогоплательщика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0541000946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3.1.6. Филиалы и представительства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филиалов и представительств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 Основная хозяйственная деятельность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3.2.1. Отраслевая принадлежность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Основное отраслевое направление деятельности эмитента согласно ОКВЭД.: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29.12.2, 29.13.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3.2.2. Основная хозяйственная деятельность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3.2.3. Материалы, товары (сырье) и поставщики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3.2.4. Рынки сбыта продукции (работ, услуг)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Основные рынки, на которых эмитент осуществляет свою деятельность: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1. ОАО "ССЗ Северная верфь" г. С-Петербург - рулевые машины, поворотные затворы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2. ЗАО "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Комплексснаб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г. Москва - арматура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ОАО "СФ "Алмаз" г. С-Петербург - рулевые машины, поворотные затворы, насосы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ОАО "Восточная верфь" г. Владивосток - рулевые машины, насосы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ОАО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"С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 ВЫМПЕЛ", г. Рыбинск - насосы, рулевые машины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6. ООО "Сантехкомплект"- 30 и 39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г. Москва  задвижки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Факторы, которые могут негативно повлиять на сбыт эмитентом его продукции (работ, услуг), и возможные действия эмитента по уменьшению такого влияния: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3.2.5. Сведения о налич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ии у э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митента разрешений (лицензий) или допусков к отдельным видам работ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Управление ФСБ России по РД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579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Осуществление работ с использований сведений, составляющих государственную тайну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16.07.2020г.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16.07.2025г.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 (организация), выдавший соответствующее разрешение (лицензию) или допуск к отдельным видам 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остехнадзор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ЭХ-32-000675 (Х)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Эксплуатация химически опасных производственных объектов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25.06.2021г.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Срок действия разрешения (лицензии) или допуска к отдельным видам 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работ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ессрочно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 (организация), выдавший соответствующее разрешение (лицензию) или допуск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Федеральная служба по надзору в сфере связи, информационных технологий и массовых коммуникаций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 разрешения (лицензии) или документа, подтверждающего получение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149591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деятельности (работ), на осуществление (проведение) которых эмитентом получено соответствующее разрешение (лицензия) или допуск: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предоставление услуг местной телефонной связи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 разрешения (лицензии) или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24.01.2021г.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действия разрешения (лицензии) или допуска к отдельным видам работ: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24.01.2027г.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3.2.6. Сведения о деятельности отдельных категорий эмитентов эмиссионных ценных бумаг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3.2.7. Дополнительные требования к эмитентам, основной деятельностью которых является добыча полезных ископаемых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добыча полезных ископаемых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3.2.8. Дополнительные требования к эмитентам, основной деятельностью которых является оказание услуг связи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Основной деятельностью эмитента не является оказание услуг связи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3.3. Планы будущей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Произведена подготовка производства на серийное производство  скважинных винтовых насосов Н1ВС 10,7 с удлиненным шагом, а также изготовлены первые комплекты обойм для изготовления насоса Н1ВС15,6. Произведено упорядочение типоразмеров насосов типа Н1ВС с корректировкой КД в установленном порядке.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2.  Разработан комплект конструкторской документации на водяной насос  для бытовых нужд –     обеспечения водой коттеджей, полива приусадебных участков и т.д.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3. Разработан чертеж для маховика задвижек с обрезиненным клином Ду50 и выдан ОГТ для изготовления опытных образцов.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3.4. Участие эмитента в банковских группах, банковских холдингах, холдингах и ассоциациях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Эмитент не участвует в банковских группах, банковских холдингах, холдингах и ассоциациях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3.5. Подконтрольные эмитенту организации, имеющие для него существенное значение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подконтрольных организаций, имеющих для него существенное значение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3.6. Состав, структура и стоимость основных средств эмитента, информация о планах по приобретению, замене, выбытию основных средств, а также обо всех фактах обременения основных средств эмитента</w:t>
      </w:r>
    </w:p>
    <w:p w:rsidR="00B54F1A" w:rsidRPr="00B54F1A" w:rsidRDefault="00B54F1A" w:rsidP="00B54F1A">
      <w:pPr>
        <w:widowControl w:val="0"/>
        <w:tabs>
          <w:tab w:val="left" w:pos="8085"/>
        </w:tabs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3.6.1. Основные средства</w:t>
      </w: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5"/>
        <w:gridCol w:w="1360"/>
        <w:gridCol w:w="1400"/>
      </w:tblGrid>
      <w:tr w:rsidR="00B54F1A" w:rsidRPr="00B54F1A" w:rsidTr="00B54F1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основных средств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204353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42136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сооружения и передаточные устройства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33159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11721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202268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162001</w:t>
            </w:r>
          </w:p>
        </w:tc>
      </w:tr>
      <w:tr w:rsidR="00B54F1A" w:rsidRPr="00B54F1A" w:rsidTr="00B54F1A">
        <w:trPr>
          <w:trHeight w:val="222"/>
        </w:trPr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11988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8747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3654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3372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1 560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1560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земельные участки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2605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459587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229537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способах начисления амортизационных отчислений по группам объектов основных средств: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30.09.2023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Результаты последней переоценки основных средств и долгосрочно арендуемых основных средств, осуществленной в течение последнего завершенного финансового года, с указанием даты проведения переоценки, полной и остаточной (за вычетом амортизации) балансовой стоимости основных средств до переоценки и полной и остаточной (за вычетом амортизации) восстановительной стоимости основных средств с учетом этой переоценки. Указанная информация приводится по группам объектов основных средств. Указываются сведения о способах начисления амортизационных отчислений по группам объектов основных средств.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Переоценка основных средств за указанный период не проводилась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Указываются сведения о планах по приобретению, замене, выбытию основных средств, стоимость которых составляет 10 и более процентов стоимости основных средств эмитента, и иных основных средств по усмотрению эмитента, а также сведения обо всех фактах обременения основных средств эмитента (с указанием характера обременения, даты возникновения обременения, срока его действия и иных условий по усмотрению эмитента).: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IV. Сведения о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4.1. Результаты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4.2. Ликвидность эмитента, достаточность капитала и оборотных средств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4.3. Финансовые вложения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10.10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4.4. Нематериальные активы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 дату окончания отчетного квартала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руб.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5113"/>
        <w:gridCol w:w="2261"/>
        <w:gridCol w:w="1881"/>
      </w:tblGrid>
      <w:tr w:rsidR="00B54F1A" w:rsidRPr="00B54F1A" w:rsidTr="00B54F1A">
        <w:tc>
          <w:tcPr>
            <w:tcW w:w="511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группы объектов нематериальных активов</w:t>
            </w:r>
          </w:p>
        </w:tc>
        <w:tc>
          <w:tcPr>
            <w:tcW w:w="22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Первоначальная (восстановительная) стоимость</w:t>
            </w:r>
          </w:p>
        </w:tc>
        <w:tc>
          <w:tcPr>
            <w:tcW w:w="18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начисленной амортизации</w:t>
            </w:r>
          </w:p>
        </w:tc>
      </w:tr>
      <w:tr w:rsidR="00B54F1A" w:rsidRPr="00B54F1A" w:rsidTr="00B54F1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Лицензия на право пользования недрами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140000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28878</w:t>
            </w:r>
          </w:p>
        </w:tc>
      </w:tr>
      <w:tr w:rsidR="00B54F1A" w:rsidRPr="00B54F1A" w:rsidTr="00B54F1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Товарный знак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65000</w:t>
            </w:r>
          </w:p>
        </w:tc>
      </w:tr>
      <w:tr w:rsidR="00B54F1A" w:rsidRPr="00B54F1A" w:rsidTr="00B54F1A">
        <w:tc>
          <w:tcPr>
            <w:tcW w:w="511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205000</w:t>
            </w:r>
          </w:p>
        </w:tc>
        <w:tc>
          <w:tcPr>
            <w:tcW w:w="18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93878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Отчетная дата: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30.09.2023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4.5. Сведения о политике и расходах эмитента в области научно-технического развития, в отношении лицензий и патентов, новых разработок и исследований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1. Произведена разработка конструкции универсального опорного узла с  усиленным валом, рассчитанный на крутящий момент 1000 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Нм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2. Произведена подготовительная работа с введением в КД   новых типоразмеров  насосов с подачей 10,7 и 15,6 м3/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с оформлением соответствующей конструкторской документации. 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3. Произведена подготовительная работа с проведением расчета нового кулачка для  нового типоразмера  насоса с подачей 19,5 м3/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сут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4. Проработаны чертежи клиньев Ду50, 80 и 100 с целью уменьшения трудоемкости их изготовления и улучшения технологии изготовления и переданы в производство.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5. Выполнены в полном объеме 3D модели на поворотные затворы 587-182.181-05, 545-35.191 и 192.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6. Проведена большая работа по лицензионной и сертификационной части – в частности получены декларации Технического регламента Таможенного союза и сертификаты на нефтегазовую арматуру,  экспертные заключения на задвижку с обрезиненным клином, получена декларация о соответствии Техническому регламенту Таможенного союза на электронасосы типа Н1ВС и 1В.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4.6. Анализ тенденций развития в сфере основной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4.6.1. Анализ факторов и условий, влияющих на деятельность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Имеется определенный ро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ст  спр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оса на продукцию судостроения, однако этот спрос недостаточен для полной загрузки нашего предприятия. В связи с этим завод вынужден искать дополнительные заказы вне своего профиля.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4.6.2. Конкуренты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1. АО «Буревестник» Ленинградская область, г. Гатчина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2. Производственная компания «Борец»  г. Москва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3. АО «ЭНА»  Московская область,  г. Щелково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4. Фирма «НЕТЧ» (Германия)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5. АО «Завод «</w:t>
      </w:r>
      <w:proofErr w:type="spellStart"/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Водоприбор</w:t>
      </w:r>
      <w:proofErr w:type="spellEnd"/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  г. Москва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6. АО «Благовещенский арматурный завод»  Республика Башкортостан, 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г. Благовещенск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7. Муромский арматурный завод  задвижки 30ч 39р.,г</w:t>
      </w:r>
      <w:proofErr w:type="gramStart"/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.М</w:t>
      </w:r>
      <w:proofErr w:type="gramEnd"/>
      <w:r w:rsidRPr="00B54F1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уром.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V. Подробные сведения о лицах, входящих в состав органов управления эмитента, органов эмитента по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контролю за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его финансово-хозяйственной деятельностью, и краткие сведения о сотрудниках (работниках)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5.1. Сведения о структуре и компетенции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описание структуры органов управления эмитента и их компетенции в соответствии с уставом (учредительными документами)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Высшим органом Общества является Общее собрание акционеров.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Общего собрания акционеров относятся: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внесение изменений и дополнений в устав;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реорганизация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ликвидация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избрание членов Совета директоров и досрочное прекращение их полномочий;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определение количества, номинальной стоимости, категории объявленных акций и прав, предоставляемых этими акциями;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увеличение уставного капитала Общества путем увеличения номинальной стоимости акций;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7) уменьшение уставного капитала Общества путем уменьшения номинальной стоимости акций;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8) избрание Генерального директора и досрочное прекращение его полномочий;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избрание Ревизионной комиссии Общества и досрочное прекращение его полномочий;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утверждение Аудитора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утверждение годовых отчетов, годовой бухгалтерской отчетности;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определение порядка ведения Общего собрания акционеров;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дробление и консолидация акций;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14) утверждение внутренних документов, регулирующих деятельность органов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15) решение иных вопросов, предусмотренных Федеральным законом "Об акционерных обществах".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Общего собрания акционеров, не могут быть переданы на решение Совету директоров Общества, за исключением вопросов, предусмотренных Федеральным законом "Об акционерных обществах".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Совет директоров осуществляет общее руководство деятельностью общества, за исключением решения вопросов, отнесенных настоящим Уставом к компетенции Общего собрания акционеров.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 компетенции Совета директоров относятся следующие вопросы: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1) определение приоритетных направлений деятельности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2) созыв годового и внеочередного Общих собраний акционеров;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3) утверждение повестки дня Общего собрания акционеров;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4) определение даты составления списка лиц, имеющих право на участие в Общем собрании акционеров, и другие вопросы, связанные с подготовкой и проведением Общего собрания акционеров;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5) увеличение уставного капитала Общества путём размещения Обществом дополнительных акций в пределах количества и категорий объявленных акций;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6) приобретение размещенных Обществом акций, облигаций и иных ценных бумаг в случаях, предусмотренных Федеральным законом "Об акционерных обществах";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7) назначение членов правления Общества и досрочное прекращение их полномочий;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8) рекомендации по размеру выплачиваемых Ревизионной комиссии вознаграждений и компенсаций и определение размера оплаты услуг Аудитора;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9) рекомендации по размеру дивидендов по акциям и порядку их выплаты;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10) использование резервного и других фондов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11) создание филиалов и открытие представительств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12) принятие решений о заключении сделок кредита, поручительства, гарантии, залога;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13) утверждение регистратора Общества и условий договора с ним, а также расторжение договора с ним.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Вопросы, отнесенные к компетенции Совета Директоров, не могут быть переданы на решение Генеральному директору Общества.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Руководство текущей деятельностью Общества осуществляется Генеральным директором и Правлением Общества. Генеральный директор и правление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подотчетны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Совету Директоров и Общему собранию акционеров.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   Правление является коллегиальным исполнительным органом.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Правление состоит из генерального директора и его заместителей, руководителей основных структурных подразделений Общества, главного бухгалтера.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К компетенции правления относятся все вопросы руководства текущей деятельности Общества, за исключением вопросов, отнесенных к компетенции Общего собрания акционеров или Совета директоров.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5.2. Информация о лицах, входящих в состав органов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5.2.1. Состав совета директоров (наблюдательного совета)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тибеков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Надир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Рамазанович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планово-экономического отдела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0.95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Гасангусейнович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 по экономике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"Аксиома"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директор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Матвеенко Евгений Владимирович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1959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ПДО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0.04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Исмаилов Магомед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Абакарович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технолог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Бабаев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Нурбек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Абдурашидович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(председатель)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1949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генерального директора по качеству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Шипилова Елена Федоровна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финансового отдела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0.12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израев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Насрулавевич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="007516B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энергетик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="006F11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0,06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  <w:r w:rsidR="006F119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,06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ултанматов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Султансаид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Идзиевич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цеха 18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5.2.2. Информация о единоличном исполнительном органе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апалашов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Яхьяевич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1947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Генеральный директор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4.07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4.07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Доли участия лица в уставном (складочном) капитале (паевом фонде) дочерних и зависимых обществ эмитента 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5.2.3. Состав коллегиального исполнительного органа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5.3. Сведения о размере вознаграждения, льгот и/или компенсации расходов по каждому органу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размере вознаграждения по каждому из органов управления (за исключением физического лица, осуществляющего функции единоличного исполнительного органа управления эмитента).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Совета директоров Общества, связанные с исполнением ими функций Совета директоров Общества, по результатам 2022г. не выплачивались.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Коллегиальный исполнительный орган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коллегиального исполнительного органа, связанные с исполнением ими функций      коллегиального исполнительного органа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2022г. не выплачивались.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5.4. Сведения о структуре и компетенции органов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Приводится полное описание структуры органов контроля за финансово-хозяйственной деятельностью эмитента и их компетенции в соответствии с уставом (учредительными документами) и внутренними документами эмитента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.: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Для осуществления проверки и контроля за финансово-хозяйственной деятельностью Общества Общим собранием акционеров избирается Ревизионная комиссия Общества и утверждается Аудитор общества. Ревизионная комиссия Общества состоит из 5 человек и избирается сроком на 1 год.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Проверка финансово-хозяйственной деятельности Общества осуществляется по итогам деятельности Общества за год, а также во всякое время по инициативе Ревизионной комиссии, решению общего собрания акционеров, Совета директоров или по требованию акционеров, владеющих в совокупности не менее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 процентами голосующих акций Общества.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Член ревизионной комиссии не может одновременно являться членом Совета директоров или занимать иные должности в органах управления Общества.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Акции, принадлежащие членам Совета директоров или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лицам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,з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анимающим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должности в органах управления Общества, не могут участвовать в голосовании при избрании членов Ревизионной комиссии.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Аудитор осуществляет проверку финансово-хозяйственной деятельности Общества в соответствии с правовыми актами РФ на основании заключенного с ним договора. Размер оплаты его услуг определяется Советом директоров.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   По итогам проверки финансово-хозяйственной деятельности Общества Ревизионная комиссия или Аудитор составляет заключение, в котором должны содержаться: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подтверждение достоверности данных, содержащихся в отчётах или иных финансовых документах Общества;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информация о фактах нарушения установленных правовыми актами РФ порядка ведения бухгалтерского учёта и представления финансовой отчётности.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5.5. Информация о лицах, входящих в состав органов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контроля  за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Гаджиев Гаджи Магомедович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 труда и зарплаты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3.1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Пучкова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Татьяна Магомедовна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1958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средне-техническое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 ПЭО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0.008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Алиева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Патимат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Омаровна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1973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бюро бухгалтерии</w:t>
            </w:r>
          </w:p>
        </w:tc>
      </w:tr>
      <w:tr w:rsidR="00B54F1A" w:rsidRPr="00B54F1A" w:rsidTr="00B54F1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зам. начальника  </w:t>
            </w: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ОМиС</w:t>
            </w:r>
            <w:proofErr w:type="spellEnd"/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либекова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Субаржат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Хизриевна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2"/>
        <w:gridCol w:w="1260"/>
        <w:gridCol w:w="3980"/>
        <w:gridCol w:w="2680"/>
      </w:tblGrid>
      <w:tr w:rsidR="00B54F1A" w:rsidRPr="00B54F1A" w:rsidTr="00B54F1A">
        <w:tc>
          <w:tcPr>
            <w:tcW w:w="2592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Начальника ОМТС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0.004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адиева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Хава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Магомедовна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Год рождения: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1963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Образование: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высшее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 должности, занимаемые данным лицом в эмитенте и других организациях за последние 5 лет и в настоящее время в хронологическом порядке, в том числе по совместительству</w:t>
      </w:r>
      <w:proofErr w:type="gramEnd"/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333"/>
        <w:gridCol w:w="1260"/>
        <w:gridCol w:w="3981"/>
        <w:gridCol w:w="2681"/>
      </w:tblGrid>
      <w:tr w:rsidR="00B54F1A" w:rsidRPr="00B54F1A" w:rsidTr="00B54F1A">
        <w:tc>
          <w:tcPr>
            <w:tcW w:w="2593" w:type="dxa"/>
            <w:gridSpan w:val="2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39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26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</w:tr>
      <w:tr w:rsidR="00B54F1A" w:rsidRPr="00B54F1A" w:rsidTr="00B54F1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54F1A" w:rsidRPr="00B54F1A" w:rsidTr="00B54F1A">
        <w:tc>
          <w:tcPr>
            <w:tcW w:w="1333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</w:t>
            </w:r>
            <w:proofErr w:type="gramStart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.в</w:t>
            </w:r>
            <w:proofErr w:type="gramEnd"/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ремя</w:t>
            </w:r>
            <w:proofErr w:type="spellEnd"/>
          </w:p>
        </w:tc>
        <w:tc>
          <w:tcPr>
            <w:tcW w:w="39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"Завод им. Гаджиева"</w:t>
            </w:r>
          </w:p>
        </w:tc>
        <w:tc>
          <w:tcPr>
            <w:tcW w:w="2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зам. главного бухгалтера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Доли участия в уставном капитале эмитента/обыкновенных акций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Доли участия лица в уставном (складочном) капитале (паевом фонде) дочерних и зависимых обществ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долей не имеет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Сведения о характере любых родственных связей с иными лицами, входящими в состав органов управления эмитента и/или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родственных связей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привлечении такого лица к административной ответственности за правонарушения в области финансов, налогов и сборов, рынка ценных бумаг или уголовной ответственности (наличии судимости) за преступления в сфере экономики или за преступления против государственной власти: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к указанным видам ответственности не привлекалось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 о занятии таким лицом должностей в органах управления коммерческих организаций в период, когда в отношении указанных организаций было возбуждено дело о банкротстве и/или введена одна из процедур банкротства, предусмотренных законодательством Российской Федерации о несостоятельности (банкротстве):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Лицо указанных должностей не занимало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наличия у эмитента службы внутреннего аудита или иного органа контроля за его финансово-хозяйственной деятельностью, отличного от ревизионной комиссии эмитента, в состав которого входят более 10 лиц, информация, предусмотренная настоящим пунктом, указывается по не менее чем 10 лицам, являющимися членами соответствующего органа эмитента по контролю за его финансово-хозяйственной деятельностью, включая руководителя такого органа.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5.6. Сведения о размере вознаграждения, льгот и/или компенсации расходов по органу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финансово-хозяйственной деятельностью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Сведения о размере вознаграждения по каждому из органов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деятельностью. Указываются все виды вознаграждения, в том числе заработная плата, премии, комиссионные, льготы и (или) компенсации расходов, а также иные имущественные представления, которые были выплачены эмитентом за последний завершенный календарный год, предшествующий первому кварталу, и за первый квартал: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C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ведения</w:t>
      </w:r>
      <w:proofErr w:type="spell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 существующих соглашениях относительно таких выплат в текущем финансовом году: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Наименование органа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за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финансово-хозяйственной деятельностью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Ревизионная комиссия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Вознаграждение за участие в работе органа контроля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Дополнительная информация: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Вознаграждение и компенсация расходов членам Ревизионной комиссии Общества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,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по результатам 2015 года не выплачивались.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5.7. Данные о численности и обобщенные данные о составе сотрудников (работников) эмитента, а также об изменении численности сотрудников (работников)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Единица измерения: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тыс. руб.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6492"/>
        <w:gridCol w:w="1360"/>
        <w:gridCol w:w="1400"/>
      </w:tblGrid>
      <w:tr w:rsidR="00B54F1A" w:rsidRPr="00B54F1A" w:rsidTr="00B54F1A">
        <w:tc>
          <w:tcPr>
            <w:tcW w:w="64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40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2016, 3 мес.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численность работников, чел.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Фонд начисленной заработной платы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123840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35931</w:t>
            </w:r>
          </w:p>
        </w:tc>
      </w:tr>
      <w:tr w:rsidR="00B54F1A" w:rsidRPr="00B54F1A" w:rsidTr="00B54F1A">
        <w:tc>
          <w:tcPr>
            <w:tcW w:w="64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Выплаты социального характера работников за отчетный период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1138</w:t>
            </w:r>
          </w:p>
        </w:tc>
        <w:tc>
          <w:tcPr>
            <w:tcW w:w="140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343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5.8. Сведения о любых обязательствах эмитента перед сотрудниками (работниками), касающихся возможности их участия в уставном (складочном) капитале (паевом фонде)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имеет обязательств перед сотрудниками (работниками), касающихся возможности их участия в уставном (складочном) капитале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VI. Сведения об участниках (акционерах) эмитента и о совершенных эмитентом сделках, в совершении которых имелась заинтересованность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6.1. Сведения об общем количестве акционеров (участников)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 с ненулевыми остатками на лицевых счетах, зарегистрированных в реестре акционеров эмитента на дату окончания отчетного квартала: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номинальных держателей акций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Общее количество лиц, включенных в составленный последним список лиц, имевших (имеющих) право на участие в общем собрании акционеров эмитента (иной список лиц, составленный в целях осуществления (реализации) прав по акциям эмитента и для составления которого номинальные держатели акций эмитента представляли данные о лицах, в интересах которых они владели (владеют) акциями эмитента):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1 325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составления списка лиц, включенных в составленный последним список лиц, имевших (имеющих) право на участие в общем собрании акционеров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23.04.2023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обыкновенных акций эмитента, которые подлежали включению в такой список: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Владельцы привилегированных акций эмитента, которые подлежали включению в такой список: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6.2.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Сведения об участниках (акционерах) эмитента, владеющих не менее чем 5 процентами его уставного (складочного) капитала (паевого фонда) или не менее чем 5 процентами его обыкновенных акций, а также сведения о контролирующих таких участников (акционеров) лицах, а в случае отсутствия таких лиц - об их участниках (акционерах), владеющих не </w:t>
      </w: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менее чем 20 процентами уставного (складочного) капитала (паевого фонда) или не менее чем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20 процентами их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Участники (акционеры) эмитента, владеющие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Омаров Рустам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Махачевич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8.05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ФИО: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Тагирова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Шуанат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Папалашова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Зухра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Нухова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Фатима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ФИО: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Таимова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Саният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Абдулвагабовна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участия лица в уставном капитале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Доля принадлежащих лицу обыкновенных акций эмитента,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</w:t>
      </w: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6.3. Сведения о доле участия государства или муниципального образования в уставном (складочном) капитале (паевом фонде) эмитента, наличии специального права ('золотой акции')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об управляющих государственными, муниципальными пакетами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от имени Российской Федерации, субъекта Российской Федерации или муниципального образования осуществляют функции участника (акционера)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лиц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Наличие специального права на участие Российской Федерации, субъектов Российской Федерации, муниципальных образований в управлении эмитентом - акционерным обществом ('золотой акции'), срок действия специального права ('золотой акции')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Указанное право не предусмотрено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6.4. Сведения об ограничениях на участие в уставном (складочном) капитале (паевом фонде)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Ограничений на участие в уставном (складочном) капитале эмитента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6.5. Сведения об изменениях в составе и размере участия акционеров (участников) эмитента, владеющих не менее чем 5 процентами его уставного (складочного) капитала (паевого фонда) или не менее чем 5 процентами его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Составы акционеров (участников) эмитента, владевших не менее чем 5 процентами уставного (складочного) капитала эмитента, а для эмитентов, являющихся акционерными обществами, - также не менее 5 процентами обыкновенных акций эмитента, определенные на дату списка лиц, имевших право на участие в каждом общем собрании акционеров (участников) эмитента, проведенном за последний завершенный финансовый год, предшествующий дате окончания отчетного квартала, а также за период с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даты начала текущего года и до даты окончания отчетного квартала по данным списка лиц, имевших право на участие в каждом из таких собраний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Дата составления списка лиц, имеющих право на участие в общем собрании акционеров (участников)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05.05.2018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6.6. Сведения о совершенных эмитентом сделках, в совершении которых имелась заинтересованность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сделок не совершалось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6.7. Сведения о размере дебиторской задолженности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VII. Бухгалтерска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я(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финансовая) отчетность эмитента и иная финансовая информация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7.1. Годовая бухгалтерска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я(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финансовая) отчетность эмитента 2022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Пояснительная записка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Аудиторское заключение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Информация приводится в приложении к настоящему ежеквартальному отчету</w:t>
      </w:r>
    </w:p>
    <w:p w:rsid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7.2. Квартальная бухгалтерская (финансовая) отчетность эмитента</w:t>
      </w:r>
    </w:p>
    <w:p w:rsidR="00B54F1A" w:rsidRPr="007516B2" w:rsidRDefault="007516B2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5DB3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7.3. Сводная бухгалтерская (консолидированная финансовая) отчетность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Не указывается в данном отчетном квартале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7.4. Сведения об учетной политике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ФЗ от 21.01.96г. №129-ФЗ, Положением о бухгалтерском учёте и отчётности в РФ, утвержденным приказом Минфина РФ от 29.07.98г. №34Н и Положением по бухгалтерскому учёту "Учётная политика предприятия", утвержденным приказом Минфина РФ от 09.12.98г. №60Н ОАО "Завод им. Гаджиева" приказом №289 от 29.12.06г. приняло следующую учётную политику на предприятии: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1.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Процесс приобретения и заготовления материалов и МБП отражать в учете с применением счета 10 "Материалы" с оценкой стоимости материалов по фактической себестоимости.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 xml:space="preserve">2. МБП стоимостью менее 20000 руб., оценивать на счете 10 "Материалы", по мере отпуска в эксплуатацию относить их под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отчёт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МОЛ подразделений завода на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субсчёт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10/9 "Инвентарь и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хозпринадлежности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 до истечения срока эксплуатации и составления актов на списание. Спецодежда учитывается в составе средств в обороте.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3. Амортизацию основных сре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дств в б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ухгалтерском и налоговом учёте начислять линейным способом.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4. Учёт реализации продукции  вести на счёте 90 "Продажи".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5. Нематериальные активы в бухгалтерском и налоговом учёте начислять линейным способом с использованием счёта 05 "Амортизация нематериальных активов".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6. Организация учёта затрат на производство - затраты собирать по дебету 20 "Основное производство", и по дебету 23 "Вспомогательное производство".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7. Затраты общепроизводственного и общехозяйственного назначения собирать на дебете счетов 25 и 26. Незавершенное производство оценивается методом инвентаризации по фактическим производственным затратам.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8. Учёт готовой продукции вести на счёте 43 "Готовая продукция" по фактической себестоимости.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9. Не создавать за счёт финансовых результатов предприятия резерв сомнительных долгов.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10. Расходы будущих периодов списываются в том периоде, в котором были произведены.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lastRenderedPageBreak/>
        <w:t xml:space="preserve">11. Периодичность и порядок распределения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дивидентов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определяется собранием акционеров.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12. Распределение чистой прибыли производить по фондам в конце года.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13. В налоговом учёте доходы и расходы учитываются методом начисления.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14. В целях налогообложения установить метод определения выручки от реализации продукции (работ и услуг) - по мере отгрузки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7.5. Сведения об общей сумме экспорта, а также о доле, которую составляет экспорт в общем объеме продаж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связи с тем, что ценные бумаги эмитента не включены в список ценных бумаг, допущенных к торгам на организаторе торговли на рынке ценных бумаг, и эмитент не является организацией, предоставившей обеспечение по облигациям другого эмитента, которые включены в список ценных бумаг, допущенных к торгам на организаторе торговли на рынке ценных бумаг, на основании п. 5.9 Положения о раскрытии информации настоящая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информация эмитентом в ежеквартальный отчет не включается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7.6. Сведения о существенных изменениях, произошедших в составе имущества эмитента после даты окончания последнего завершенного финансового года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Сведения о существенных изменениях в составе имущества эмитента, произошедших в течение 12 месяцев до даты окончания отчетного квартала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Существенных изменений в составе имущества эмитента, произошедших в течение 12 месяцев до даты окончания отчетного квартала не было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7.7. Сведения об участии эмитента в судебных процессах в случае, если такое участие может существенно отразиться на финансово-хозяйственной деятельности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участвовал/не участвует в судебных процессах, которые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отразились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/могут отразиться на финансово-хозяйственной деятельности, в течение периода с даты начала последнего завершенного финансового года и до даты окончания отчетного квартала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36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VIII. Дополнительные сведения об эмитенте и о размещенных им эмиссионных ценных бумагах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 Дополнительные сведения об эмитенте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8.1.1. Сведения о размере, структуре уставного (складочного) капитала (паевого фонда)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уставного (складочного) капитала (паевого фонда) эмитента на дату окончания последнего отчетного квартала, руб.: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Обыкновенные акции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52 783 185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Привилегированные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Общая номинальная стоимость: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доли в УК, %: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Указывается информация о соответствии величины уставного капитала, приведенной в настоящем пункте, учредительным документам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соответствует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8.1.2. Сведения об изменении размера уставного (складочного) капитала (паевого фонда)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Изменений размера УК за данный период не было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8.1.3. Сведения о порядке созыва и проведения собрания (заседания) высшего органа управления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высшего органа управления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Годовое общее собрание акционеров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Порядок уведомления акционеров (участников) о проведении собрания (заседания) высшего органа управления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Общее собрание акционеров созывается Советом директоров Общества. Сообщение о проведении Общего собрания акционеров и его повестке дня должно быть направлено каждому акционеру заказным почтовым отправлением, опубликовано в периодической печати не позднее, чем за 20 дней до даты его проведения, размещено на сайте Общества www.e-disclosure.ru/portal/company.aspx?id=3533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 (органы), которые вправе созывать (требовать проведения) внеочередного собрания (заседания) высшего органа управления эмитента, а также порядок направления (предъявления) таких требований: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Внеочередное Общее собрание акционеров созывается Советом директоров по собственной инициативе, по требованию Ревизионной комиссии Общества, аудитора или акционеров, владеющих не менее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10% акций Общества.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определения даты проведения собрания (заседания) высшего органа управления эмитента: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Общество обязано ежегодно проводить годовое Общее собрание акционеров не ранее 2 месяцев и не позднее 6 месяцев после окончания финансового года.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вносить предложения в повестку дня собрания (заседания) высшего органа управления эмитента, а также порядок внесения таких предложений: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Акционеры, владеющие в совокупности не менее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чем 2% голосующих акций Общества, в срок не позднее 30 дней после окончания финансового года вправе внести предложения в повестку дня годового Общего собрания акционеров и выдвинуть кандидатов в Совет директоров, на должность генерального директора и в Ревизионную комиссию Общества. При выдвижении указываются имя кандидата, количество принадлежащих ему акций, а также имена акционеров, выдвигающих кандидата, и количество принадлежащих им акций.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Лица, которые вправе ознакомиться с информацией (материалами), предоставляемыми для подготовки и проведения собрания (заседания) высшего органа управления эмитента, а также порядок ознакомления с такой информацией (материалами):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Годовая бухгалтерская отчетность, заключение ревизионной комиссии, проекты внутренних документов Общества, проекты решений Общего собрания акционеров должны быть доступны лицам, имеющим право на участие в Общем собрании акционеров.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Порядок оглашения (доведения до сведения акционеров (участников) эмитента) решений, принятых высшим органом управления эмитента, а также итогов голосования: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Итоги голосования на годовом общем собрании акционеров размещаются в газете "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Дагправда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", в сети Интернет на странице www.e-disclosure.ru/portal/company.aspx?id=3533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8.1.4. Сведения о коммерческих организациях, в которых эмитент владеет не менее чем 5 процентами уставного (складочного) капитала (паевого фонда) либо не менее чем 5 процентами обыкновенных акций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организаций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8.1.5. Сведения о существенных сделках, совершенных эмитентом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2022 г.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отчетный квартал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Указанные сделки в течение данного периода  совершалась 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8.1.6. Сведения о кредитных рейтингах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Известных эмитенту кредитных рейтингов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8.2. Сведения о каждой категории (типе) акций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Категория </w:t>
      </w:r>
      <w:proofErr w:type="spell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акций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быкновенные</w:t>
      </w:r>
      <w:proofErr w:type="spell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Номинальная стоимость каждой акции (руб.):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находящихся в обращении (количество акций, которые не являются погашенными или аннулированными):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10 556 637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Количество дополнительных акций, которые могут быть размещены или находятся в процессе размещения (количество акций дополнительного выпуска, государственная регистрация которого осуществлена, но в 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отношении</w:t>
      </w:r>
      <w:proofErr w:type="gramEnd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которого не осуществлена государственная регистрация отчета об итогах 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дополнительного выпуска или не представлено уведомление об итогах дополнительного выпуска в случае, если в соответствии с Федеральным законом «О рынке ценных бумаг» государственная регистрация отчета об итогах дополнительного выпуска акций не осуществляется):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объявленных акций: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акций, поступивших в распоряжение (находящихся на балансе)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Количество дополнительных акций, которые могут быть размещены в результате конвертации размещенных ценных бумаг, конвертируемых в акции, или в результате исполнения обязательств по опционам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Выпуски акций данной категории (типа):</w:t>
      </w:r>
    </w:p>
    <w:tbl>
      <w:tblPr>
        <w:tblW w:w="9255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893"/>
        <w:gridCol w:w="7362"/>
      </w:tblGrid>
      <w:tr w:rsidR="00B54F1A" w:rsidRPr="00B54F1A" w:rsidTr="00B54F1A">
        <w:tc>
          <w:tcPr>
            <w:tcW w:w="1892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государственной регистрации</w:t>
            </w:r>
          </w:p>
        </w:tc>
        <w:tc>
          <w:tcPr>
            <w:tcW w:w="73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регистрационный номер выпуска</w:t>
            </w:r>
          </w:p>
        </w:tc>
      </w:tr>
      <w:tr w:rsidR="00B54F1A" w:rsidRPr="00B54F1A" w:rsidTr="00B54F1A">
        <w:tc>
          <w:tcPr>
            <w:tcW w:w="1892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06.08.1997</w:t>
            </w:r>
          </w:p>
        </w:tc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B54F1A" w:rsidRPr="00B54F1A" w:rsidRDefault="00B54F1A" w:rsidP="00B54F1A">
            <w:pPr>
              <w:widowControl w:val="0"/>
              <w:autoSpaceDE w:val="0"/>
              <w:autoSpaceDN w:val="0"/>
              <w:adjustRightInd w:val="0"/>
              <w:spacing w:before="20" w:after="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54F1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03-1-347</w:t>
            </w:r>
          </w:p>
        </w:tc>
      </w:tr>
    </w:tbl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Права, предоставляемые акциями их владельцам:</w:t>
      </w:r>
      <w:proofErr w:type="gramStart"/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-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участвовать в Общем собрании акционеров с правом голоса по всем вопросам его компетенции;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информацию о деятельности Общества в установленном ФЗ "Об акционерных обществах" порядке;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получать в случае ликвидации Общества часть имущества, остающегося после расчетов с кредиторами, или его стоимость;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отчуждать принадлежащие им акции без согласия других акционеров;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- иметь преимущественное право на покупку дополнительно выпускаемых Обществом акций, если иное не принято решением Общего собрания акционеров;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Акционеры, совокупная доля которых в уставном капитале Общества составляет 10 или более процентов, в любое время могут требовать проведения аудиторской проверки деятельности Общества.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Каждая обыкновенная акция дает ее владельцу один голос на Общем собрании акционеров.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br/>
        <w:t>Если акционер не присутствует на Общем собрании акционеров, он имеет право выдать доверенность на участие  в Общем собрании акционеров с правом голоса по всем вопросам его компетенции своему представителю.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Иные сведения об акциях, указываемые эмитентом по собственному усмотрению:</w:t>
      </w: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8.3. Сведения о предыдущих выпусках эмиссионных ценных бумаг эмитента, за исключением акций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8.3.1. Сведения о выпусках, все ценные бумаги которых погашены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8.3.2. Сведения о выпусках, ценные бумаги которых не являются погашенными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Указанных выпусков 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8.4. Сведения о лице (лицах), предоставившем (предоставивших) обеспечение по облигациям эмитента с обеспечением, а также об условиях обеспечения исполнения обязательств по облигациям эмитента с обеспечением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регистрировал проспект облигаций с обеспечением, допуск к торгам на фондовой бирже биржевых облигаций не осуществлялся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8.4.1. Условия обеспечения исполнения обязательств по облигациям с ипотечным покрытием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размещал облигации с ипотечным покрытием, обязательства по которым еще не исполнены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8.5. Сведения об организациях, осуществляющих учет прав на эмиссионные ценные бумаги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Лицо, осуществляющее ведение реестра владельцев именных ценных бумаг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регистратор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Сведения о регистраторе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фирменное наименование: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 Акционерное общество "Реестр"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фирменное наименование: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АО "Реестр"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нахождения: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119021 г. Москва,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Зубовская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пл., д.3, стр.2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7704028206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1027700047275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Данные о лицензии на осуществление деятельности по ведению реестра владельцев ценных бумаг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Номер: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10-000-1-00254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выдачи: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13.09.2002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окончания действия: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8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Бессрочная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6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органа, выдавшего лицензию: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ФКЦБ (ФСФР) России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4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с которой регистратор осуществляет ведение реестра  владельцев ценных бумаг эмитента:</w:t>
      </w: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23.06.2000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Ведение реестра владельцев именных ценных бумаг эмитента осуществляет обособленное подразделение АО "Реестр" - Дагестанский филиал, Республика Дагестан, г. Махачкала, ул. </w:t>
      </w:r>
      <w:proofErr w:type="spell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Ярагского</w:t>
      </w:r>
      <w:proofErr w:type="spell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, 71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8.6. Сведения о законодательных актах, регулирующих вопросы импорта и экспорта капитала, которые могут повлиять на выплату дивидендов, процентов и других платежей нерезидентам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экспорт и импорт капитала.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8.7. Описание порядка налогообложения доходов по размещенным и размещаемым эмиссионным ценным бумагам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соответствии с Налоговым кодексом РФ.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8.8.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Сведения об объявленных (начисленных) и о выплаченных дивидендах по акциям эмитента, а также о доходах по облигациям эмитента</w:t>
      </w:r>
      <w:proofErr w:type="gramEnd"/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8.8.1. Сведения об объявленных и выплаченных дивидендах по акциям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В течение указанного периода решений о выплате дивидендов эмитентом не принималось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8.8.2. Сведения о начисленных и выплаченных доходах по облигациям эмитента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Эмитент не осуществлял эмиссию облигаций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8.9. Иные сведения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нет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40" w:after="40" w:line="240" w:lineRule="auto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8.10. Сведения о представляемых ценных бумагах и эмитенте представляемых ценных бумаг, право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>собственности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lang w:eastAsia="ru-RU"/>
        </w:rPr>
        <w:t xml:space="preserve"> на которые удостоверяется российскими депозитарными расписками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ind w:left="20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Эмитент не является эмитентом представляемых ценных бумаг, право </w:t>
      </w:r>
      <w:proofErr w:type="gramStart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собственности</w:t>
      </w:r>
      <w:proofErr w:type="gramEnd"/>
      <w:r w:rsidRPr="00B54F1A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 xml:space="preserve"> на которые удостоверяется российскими депозитарными расписками.</w:t>
      </w:r>
    </w:p>
    <w:p w:rsidR="00B54F1A" w:rsidRPr="00B54F1A" w:rsidRDefault="00B54F1A" w:rsidP="00B54F1A">
      <w:pPr>
        <w:widowControl w:val="0"/>
        <w:autoSpaceDE w:val="0"/>
        <w:autoSpaceDN w:val="0"/>
        <w:adjustRightInd w:val="0"/>
        <w:spacing w:before="20" w:after="4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p w:rsidR="00B54F1A" w:rsidRPr="00B54F1A" w:rsidRDefault="00B54F1A" w:rsidP="00B54F1A">
      <w:pPr>
        <w:rPr>
          <w:rFonts w:ascii="Calibri" w:eastAsia="Calibri" w:hAnsi="Calibri" w:cs="Times New Roman"/>
        </w:rPr>
      </w:pPr>
    </w:p>
    <w:sectPr w:rsidR="00B54F1A" w:rsidRPr="00B54F1A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28" w:rsidRDefault="00734628" w:rsidP="00734628">
      <w:pPr>
        <w:spacing w:after="0" w:line="240" w:lineRule="auto"/>
      </w:pPr>
      <w:r>
        <w:separator/>
      </w:r>
    </w:p>
  </w:endnote>
  <w:endnote w:type="continuationSeparator" w:id="0">
    <w:p w:rsidR="00734628" w:rsidRDefault="00734628" w:rsidP="00734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421967"/>
      <w:docPartObj>
        <w:docPartGallery w:val="Page Numbers (Bottom of Page)"/>
        <w:docPartUnique/>
      </w:docPartObj>
    </w:sdtPr>
    <w:sdtContent>
      <w:p w:rsidR="00734628" w:rsidRDefault="007346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34628" w:rsidRDefault="007346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28" w:rsidRDefault="00734628" w:rsidP="00734628">
      <w:pPr>
        <w:spacing w:after="0" w:line="240" w:lineRule="auto"/>
      </w:pPr>
      <w:r>
        <w:separator/>
      </w:r>
    </w:p>
  </w:footnote>
  <w:footnote w:type="continuationSeparator" w:id="0">
    <w:p w:rsidR="00734628" w:rsidRDefault="00734628" w:rsidP="007346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F1A"/>
    <w:rsid w:val="0048573B"/>
    <w:rsid w:val="006F119A"/>
    <w:rsid w:val="00734628"/>
    <w:rsid w:val="007516B2"/>
    <w:rsid w:val="009450D1"/>
    <w:rsid w:val="00B5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F1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4F1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4F1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4F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54F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54F1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4F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B54F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4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4F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54F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4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54F1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F1A"/>
  </w:style>
  <w:style w:type="paragraph" w:styleId="a3">
    <w:name w:val="header"/>
    <w:basedOn w:val="a"/>
    <w:link w:val="a4"/>
    <w:unhideWhenUsed/>
    <w:rsid w:val="00B54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54F1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B54F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B54F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4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54F1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B54F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54F1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54F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4F1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54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54F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54F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B54F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5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B54F1A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B54F1A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B54F1A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B54F1A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54F1A"/>
    <w:rPr>
      <w:rFonts w:ascii="Tahoma" w:hAnsi="Tahoma" w:cs="Tahoma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4F1A"/>
    <w:pPr>
      <w:widowControl w:val="0"/>
      <w:autoSpaceDE w:val="0"/>
      <w:autoSpaceDN w:val="0"/>
      <w:adjustRightIn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B54F1A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B54F1A"/>
    <w:pPr>
      <w:keepNext/>
      <w:widowControl w:val="0"/>
      <w:autoSpaceDE w:val="0"/>
      <w:autoSpaceDN w:val="0"/>
      <w:adjustRightInd w:val="0"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B54F1A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B54F1A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B54F1A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B54F1A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4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B54F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semiHidden/>
    <w:rsid w:val="00B54F1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B54F1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B54F1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60">
    <w:name w:val="Заголовок 6 Знак"/>
    <w:basedOn w:val="a0"/>
    <w:link w:val="6"/>
    <w:semiHidden/>
    <w:rsid w:val="00B54F1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B54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semiHidden/>
    <w:rsid w:val="00B54F1A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54F1A"/>
  </w:style>
  <w:style w:type="paragraph" w:styleId="a3">
    <w:name w:val="header"/>
    <w:basedOn w:val="a"/>
    <w:link w:val="a4"/>
    <w:unhideWhenUsed/>
    <w:rsid w:val="00B54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54F1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54F1A"/>
    <w:pPr>
      <w:widowControl w:val="0"/>
      <w:autoSpaceDE w:val="0"/>
      <w:autoSpaceDN w:val="0"/>
      <w:adjustRightInd w:val="0"/>
      <w:spacing w:after="24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B54F1A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9">
    <w:name w:val="Body Text"/>
    <w:basedOn w:val="a"/>
    <w:link w:val="aa"/>
    <w:semiHidden/>
    <w:unhideWhenUsed/>
    <w:rsid w:val="00B54F1A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B54F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ody Text Indent"/>
    <w:basedOn w:val="a"/>
    <w:link w:val="ac"/>
    <w:semiHidden/>
    <w:unhideWhenUsed/>
    <w:rsid w:val="00B54F1A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Subtitle"/>
    <w:basedOn w:val="a"/>
    <w:link w:val="ae"/>
    <w:qFormat/>
    <w:rsid w:val="00B54F1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B54F1A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21">
    <w:name w:val="Body Text 2"/>
    <w:basedOn w:val="a"/>
    <w:link w:val="22"/>
    <w:semiHidden/>
    <w:unhideWhenUsed/>
    <w:rsid w:val="00B54F1A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B54F1A"/>
    <w:rPr>
      <w:rFonts w:ascii="Arial" w:eastAsia="Times New Roman" w:hAnsi="Arial" w:cs="Times New Roman"/>
      <w:sz w:val="20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B54F1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semiHidden/>
    <w:unhideWhenUsed/>
    <w:rsid w:val="00B54F1A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"/>
    <w:link w:val="34"/>
    <w:semiHidden/>
    <w:unhideWhenUsed/>
    <w:rsid w:val="00B54F1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0"/>
    <w:link w:val="33"/>
    <w:semiHidden/>
    <w:rsid w:val="00B54F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semiHidden/>
    <w:unhideWhenUsed/>
    <w:rsid w:val="00B54F1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B54F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Верхний колонтитул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3">
    <w:name w:val="Нижний колонтитул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4">
    <w:name w:val="Название Знак1"/>
    <w:basedOn w:val="a0"/>
    <w:uiPriority w:val="10"/>
    <w:rsid w:val="00B54F1A"/>
    <w:rPr>
      <w:rFonts w:ascii="Cambria" w:hAnsi="Cambria" w:cs="Times New Roman" w:hint="default"/>
      <w:color w:val="17365D"/>
      <w:spacing w:val="5"/>
      <w:kern w:val="28"/>
      <w:sz w:val="52"/>
      <w:szCs w:val="52"/>
    </w:rPr>
  </w:style>
  <w:style w:type="character" w:customStyle="1" w:styleId="15">
    <w:name w:val="Основной текст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6">
    <w:name w:val="Основной текст с отступом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17">
    <w:name w:val="Подзаголовок Знак1"/>
    <w:basedOn w:val="a0"/>
    <w:uiPriority w:val="11"/>
    <w:rsid w:val="00B54F1A"/>
    <w:rPr>
      <w:rFonts w:ascii="Cambria" w:hAnsi="Cambria" w:cs="Times New Roman" w:hint="default"/>
      <w:i/>
      <w:iCs/>
      <w:color w:val="4F81BD"/>
      <w:spacing w:val="15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310">
    <w:name w:val="Основной текст 3 Знак1"/>
    <w:basedOn w:val="a0"/>
    <w:uiPriority w:val="99"/>
    <w:semiHidden/>
    <w:rsid w:val="00B54F1A"/>
    <w:rPr>
      <w:rFonts w:ascii="Times New Roman" w:hAnsi="Times New Roman" w:cs="Times New Roman" w:hint="default"/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B54F1A"/>
    <w:rPr>
      <w:rFonts w:ascii="Times New Roman" w:hAnsi="Times New Roman" w:cs="Times New Roman" w:hint="default"/>
    </w:rPr>
  </w:style>
  <w:style w:type="character" w:customStyle="1" w:styleId="311">
    <w:name w:val="Основной текст с отступом 3 Знак1"/>
    <w:basedOn w:val="a0"/>
    <w:uiPriority w:val="99"/>
    <w:semiHidden/>
    <w:rsid w:val="00B54F1A"/>
    <w:rPr>
      <w:rFonts w:ascii="Times New Roman" w:hAnsi="Times New Roman" w:cs="Times New Roman" w:hint="default"/>
      <w:sz w:val="16"/>
      <w:szCs w:val="16"/>
    </w:rPr>
  </w:style>
  <w:style w:type="character" w:customStyle="1" w:styleId="18">
    <w:name w:val="Текст выноски Знак1"/>
    <w:basedOn w:val="a0"/>
    <w:uiPriority w:val="99"/>
    <w:semiHidden/>
    <w:rsid w:val="00B54F1A"/>
    <w:rPr>
      <w:rFonts w:ascii="Tahoma" w:hAnsi="Tahoma" w:cs="Tahoma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3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29</Pages>
  <Words>12838</Words>
  <Characters>73180</Characters>
  <Application>Microsoft Office Word</Application>
  <DocSecurity>0</DocSecurity>
  <Lines>609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2024-02-15T13:01:00Z</dcterms:created>
  <dcterms:modified xsi:type="dcterms:W3CDTF">2024-02-19T13:30:00Z</dcterms:modified>
</cp:coreProperties>
</file>