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96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Е Ж Е К В А </w:t>
      </w:r>
      <w:proofErr w:type="gramStart"/>
      <w:r w:rsidRPr="00BA17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 А Л Ь Н Ы Й  О Т Ч Е 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600" w:after="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Акционерное общество "Завод им. Гаджиева"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120" w:after="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Код эмитента: 31312-E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36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 4</w:t>
      </w:r>
      <w:r w:rsidRPr="00BA17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квартал 2025 г.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8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17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нахождения эмитента:</w:t>
      </w:r>
      <w:r w:rsidRPr="00BA1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368304,  Россия, Республика Дагестан, г. о.  город Каспийск,  г.  Каспийск, ул. Производственная, д.4.</w:t>
      </w:r>
      <w:proofErr w:type="gramEnd"/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600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Информация, содержащаяся в настоящем ежеквартальном отчете, подлежит раскрытию в соответствии с законодательством Российской Федерации о ценных бумагах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572"/>
        <w:gridCol w:w="3680"/>
      </w:tblGrid>
      <w:tr w:rsidR="00BA17D2" w:rsidRPr="00BA17D2" w:rsidTr="00BA17D2">
        <w:tc>
          <w:tcPr>
            <w:tcW w:w="55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1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директор</w:t>
            </w:r>
          </w:p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Дата: 13 февраля  2026</w:t>
            </w: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36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 А.Я. </w:t>
            </w:r>
            <w:proofErr w:type="spell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Папалашов</w:t>
            </w:r>
            <w:proofErr w:type="spellEnd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подпись</w:t>
            </w:r>
          </w:p>
        </w:tc>
      </w:tr>
      <w:tr w:rsidR="00BA17D2" w:rsidRPr="00BA17D2" w:rsidTr="00BA17D2">
        <w:tc>
          <w:tcPr>
            <w:tcW w:w="557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1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бухгалтер</w:t>
            </w:r>
          </w:p>
          <w:p w:rsidR="00BA17D2" w:rsidRPr="00BA17D2" w:rsidRDefault="00E22DAC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Дата: 13</w:t>
            </w:r>
            <w:bookmarkStart w:id="0" w:name="_GoBack"/>
            <w:bookmarkEnd w:id="0"/>
            <w:r w:rsid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февраля  2026</w:t>
            </w:r>
            <w:r w:rsidR="00BA17D2"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 И.Д. </w:t>
            </w:r>
            <w:proofErr w:type="spell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Куребеков</w:t>
            </w:r>
            <w:proofErr w:type="spellEnd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подпись</w:t>
            </w:r>
          </w:p>
        </w:tc>
      </w:tr>
    </w:tbl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8510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255"/>
        <w:gridCol w:w="9255"/>
      </w:tblGrid>
      <w:tr w:rsidR="00BA17D2" w:rsidRPr="00BA17D2" w:rsidTr="00BA17D2">
        <w:tc>
          <w:tcPr>
            <w:tcW w:w="9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Контактное лицо: </w:t>
            </w:r>
            <w:proofErr w:type="spellStart"/>
            <w:r w:rsidRPr="00BA17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Баштакаева</w:t>
            </w:r>
            <w:proofErr w:type="spellEnd"/>
            <w:r w:rsidRPr="00BA17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17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Наврат</w:t>
            </w:r>
            <w:proofErr w:type="spellEnd"/>
            <w:r w:rsidRPr="00BA17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17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Магомедалиевна</w:t>
            </w:r>
            <w:proofErr w:type="spellEnd"/>
            <w:r w:rsidRPr="00BA17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Телефон:8</w:t>
            </w:r>
            <w:r w:rsidRPr="00BA17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(8722) 99-95-25</w:t>
            </w:r>
          </w:p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Факс:8</w:t>
            </w:r>
            <w:r w:rsidRPr="00BA17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(8722) 68-13-79</w:t>
            </w:r>
          </w:p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почты:</w:t>
            </w:r>
            <w:r w:rsidRPr="00BA17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oaozg-marketing@yandex.ru</w:t>
            </w:r>
          </w:p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страницы (страниц) в сети Интернет, на которой раскрывается информация, содержащаяся в настоящем ежеквартальном отчете:</w:t>
            </w:r>
            <w:r w:rsidRPr="00BA17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www.e-disclosure.ru/portal/company.aspx?id=3533</w:t>
            </w:r>
          </w:p>
        </w:tc>
        <w:tc>
          <w:tcPr>
            <w:tcW w:w="9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17D2" w:rsidRPr="00BA17D2" w:rsidRDefault="00BA17D2" w:rsidP="00BA17D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360" w:after="12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7D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36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Оглавление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>TOC</w:instrTex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I. Краткие сведения о лицах, входящих в состав органов управления эмитента, сведения о банковских счетах, об аудиторе, оценщике и о финансовом консультанте эмитента, а также об иных лицах, подписавших ежеквартальный отчет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1.1. Лица, входящие в состав органов управления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1.2. Сведения о банковских счетах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1.3. Сведения об аудиторе (аудиторах)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1.4. Сведения об оценщике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1.5. Сведения о консультантах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1.6. Сведения об иных лицах, подписавших ежеквартальный отчет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II. Основная информация о финансово-экономическом состоянии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2.1. Показатели финансово-экономической деятельности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2.3. Обязательства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2.3.1. Заемные средства и кредиторская задолженность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2.3.2. Кредитная история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2.3.3. Обязательства эмитента из обеспечения, предоставленного третьим лицам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2.3.4. Прочие обязательства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2.4. Риски, связанные с приобретением размещаемых (размещенных) эмиссионных ценных бумаг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III. Подробная информация об эмитенте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История создания и развитие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3.1.1. Данные о фирменном наименовании (наименовании)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3.1.2. Сведения о государственной регистрации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3.1.3. Сведения о создании и развитии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3.1.4. Контактная информация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3.1.5. Идентификационный номер налогоплательщика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3.1.6. Филиалы и представительства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Основная хозяйственная деятельность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3.2.1. Отраслевая принадлежность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3.2.2. Основная хозяйственная деятельность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3.2.3. Материалы, товары (сырье) и поставщики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3.2.4. Рынки сбыта продукции (работ, услуг)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3.2.5. Сведения о наличии у эмитента разрешений (лицензий) или допусков к отдельным видам работ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3.2.6. Сведения о деятельности отдельных категорий эмитентов эмиссионных ценных бумаг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3.3. Планы будущей деятельности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3.4. Участие эмитента в банковских группах, банковских холдингах, холдингах и ассоциациях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3.5. Подконтрольные эмитенту организации, имеющие для него существенное значение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3.6. Состав, структура и стоимость основных средств эмитента, информация о планах по приобретению, замене, выбытию основных средств, а также обо всех фактах обременения основных средств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3.6.1. Основные средства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IV. Сведения о финансово-хозяйственной деятельности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4.1. Результаты финансово-хозяйственной деятельности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Ликвидность эмитента, достаточность капитала и оборотных средств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4.3. Финансовые вложения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4.4. Нематериальные активы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4.5. Сведения о политике и расходах эмитента в области научно-технического развития, в отношении лицензий и патентов, новых разработок и исследований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4.6. Анализ тенденций развития в сфере основной деятельности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V. Подробные сведения о лицах, входящих в состав органов управления эмитента, органов эмитента по контролю за его финансово-хозяйственной деятельностью, и краткие сведения о сотрудниках (работниках)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5.1. Сведения о структуре и компетенции органов управления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5.2. Информация о лицах, входящих в состав органов управления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5.2.1. Состав совета директоров (наблюдательного совета)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5.2.2. Информация о единоличном исполнительном органе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5.2.3. Состав коллегиального исполнительного органа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5.3. Сведения о размере вознаграждения, льгот и/или компенсации расходов по каждому органу управления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5.4.Сведения о структуре и компетенции органов контроля за финансово-хозяйственной деятельностью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5.5. Информация о лицах, входящих в состав органов контроля за финансово-хозяйственной деятельностью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5.6. Сведения о размере вознаграждения, льгот и/или компенсации расходов по органу контроля за финансово-хозяйственной деятельностью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5.7. Данные о численности и обобщенные данные о составе сотрудников (работников) эмитента, а также об изменении численности сотрудников (работников)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5.8. Сведения о любых обязательствах эмитента перед сотрудниками (работниками), касающихся возможности их участия в уставном (складочном) капитале (паевом фонде)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VI. Сведения об участниках (акционерах) эмитента и о совершенных эмитентом сделках, в совершении которых имелась заинтересованность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6.1-6.2. Акционеры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6.1. Сведения об общем количестве акционеров (участников)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6.2. Сведения об участниках (акционерах) эмитента, владеющих не менее чем 5 процентами его уставного (складочного) капитала (паевого фонда) или не менее чем 5 процентами его обыкновенных акций, а также сведения о контролирующих таких участников (акционеров) лицах, а в случае отсутствия таких лиц - об их участниках (акционерах), владеющих не менее чем 20 процентами уставного (складочного) капитала (паевого фонда) или не менее чем 20 процентами их обыкновенных акций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6.3. Сведения о доле участия государства или муниципального образования в уставном (складочном) капитале (паевом фонде) эмитента, наличии специального права ('золотой акции')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6.4. Сведения об ограничениях на участие в уставном (складочном) капитале (паевом фонде)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6.5.Сведения об изменениях в составе и размере участия акционеров (участников) эмитента, владеющих не менее чем 5 процентами его уставного (складочного) капитала (паевого фонда) или не менее чем 5 процентами его обыкновенных акций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6.6. Сведения о совершенных эмитентом сделках, в совершении которых имелась заинтересованность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6.7. Сведения о размере дебиторской задолженности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VII. Бухгалтерская(финансовая) отчетность эмитента и иная финансовая информация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7.1. Годовая бухгалтерская(финансовая) отчетность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7.2. Квартальная бухгалтерская (финансовая) отчетность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7.3. Сводная бухгалтерская (консолидированная финансовая) отчетность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7.4. Сведения об учетной политике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7.5. Сведения об общей сумме экспорта, а также о доле, которую составляет экспорт в общем объеме продаж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7.6. Сведения о существенных изменениях, произошедших в составе имущества эмитента после даты окончания последнего завершенного финансового года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7.7. Сведения об участии эмитента в судебных процессах в случае, если такое участие может существенно отразиться на финансово-хозяйственной деятельности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VIII. Дополнительные сведения об эмитенте и о размещенных им эмиссионных ценных бумагах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8.1. Дополнительные сведения об эмитенте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8.1.1. Сведения о размере, структуре уставного (складочного) капитала (паевого фонда)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8.1.2. Сведения об изменении размера уставного (складочного) капитала (паевого фонда)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8.1.3. Сведения о порядке созыва и проведения собрания (заседания) высшего органа управления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8.1.4. Сведения о коммерческих организациях, в которых эмитент владеет не менее чем 5 процентами уставного (складочного) капитала (паевого фонда) либо не менее чем 5 процентами обыкновенных акций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8.1.5. Сведения о существенных сделках, совершенных эмитентом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8.1.6. Сведения о кредитных рейтингах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8.2. Сведения о каждой категории (типе) акций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8.3.Сведения о предыдущих выпусках эмиссионных ценных бумаг эмитента, за исключением акций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8.3.1. Сведения о выпусках, все ценные бумаги которых погашены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8.3.2. Сведения о выпусках, ценные бумаги которых не являются погашенными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8.4. Сведения о лице (лицах), предоставившем (предоставивших) обеспечение по облигациям эмитента с обеспечением, а также об условиях обеспечения исполнения обязательств по облигациям эмитента с обеспечением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8.4.1. Условия обеспечения исполнения обязательств по облигациям с ипотечным покрытием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8.5. Сведения об организациях, осуществляющих учет прав на эмиссионные ценные бумаги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8.6.Сведения о законодательных актах, регулирующих вопросы импорта и экспорта капитала, которые могут повлиять на выплату дивидендов, процентов и других платежей нерезидентам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8.7. Описание порядка налогообложения доходов по размещенным и размещаемым эмиссионным ценным бумагам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8.8. Сведения об объявленных (начисленных) и о выплаченных дивидендах по акциям эмитента, а также о доходах по облигациям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8.8.1. Сведения об объявленных и выплаченных дивидендах по акциям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8.8.2. Сведения о начисленных и выплаченных доходах по облигациям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8.9. Иные сведения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8.10. Сведения о представляемых ценных бумагах и эмитенте представляемых ценных бумаг, право собственности на которые удостоверяется российскими депозитарными расписками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к ежеквартальному отчету. Аудиторское заключение к годовой бухгалтерской(финансовой) отчетности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к ежеквартальному отчету. Пояснительная записка к годовой бухгалтерской(финансовой) отчетности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36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Pr="00BA1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Основания возникновения у эмитента обязанности осуществлять раскрытие информации в форме ежеквартального отчета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Информация, содержащаяся в настоящем ежеквартальном отчете, подлежит раскрытию в соответствии с законодательством Российской Федерации о ценных бумагах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ежеквартальный отчет содержит оценки и прогнозы уполномоченных органов управления эмитента касательно будущих событий и/или действий, перспектив развития отрасли экономики, в которой эмитент осуществляет основную деятельность, и результатов деятельности эмитента, в том числе планов эмитента, вероятности наступления определенных событий и совершения определенных действий. Инвесторы не должны полностью полагаться на оценки и прогнозы органов управления эмитента, так как фактические результаты деятельности эмитента в будущем могут отличаться от прогнозируемых результатов по многим причинам. Приобретение ценных бумаг эмитента связано с рисками, описанными в настоящем ежеквартальном отчете.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36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Краткие сведения о лицах, входящих в состав органов управления эмитента, сведения о банковских счетах, об аудиторе, оценщике и о финансовом консультанте эмитента, а также об иных лицах, подписавших ежеквартальный отчет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1.1. Лица, входящие в состав органов управления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 совета директоров (наблюдательного совета) эмитента</w:t>
      </w:r>
    </w:p>
    <w:tbl>
      <w:tblPr>
        <w:tblW w:w="9255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755"/>
        <w:gridCol w:w="1500"/>
      </w:tblGrid>
      <w:tr w:rsidR="00BA17D2" w:rsidRPr="00BA17D2" w:rsidTr="00BA17D2">
        <w:tc>
          <w:tcPr>
            <w:tcW w:w="775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5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рождения</w:t>
            </w:r>
          </w:p>
        </w:tc>
      </w:tr>
      <w:tr w:rsidR="00BA17D2" w:rsidRPr="00BA17D2" w:rsidTr="00BA17D2">
        <w:tc>
          <w:tcPr>
            <w:tcW w:w="775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Штибеков</w:t>
            </w:r>
            <w:proofErr w:type="spellEnd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Надир </w:t>
            </w:r>
            <w:proofErr w:type="spell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Рамазанович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1951</w:t>
            </w:r>
          </w:p>
        </w:tc>
      </w:tr>
      <w:tr w:rsidR="00BA17D2" w:rsidRPr="00BA17D2" w:rsidTr="00BA17D2">
        <w:tc>
          <w:tcPr>
            <w:tcW w:w="775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ПапалашовАбдулвагабЯхьяевич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1947</w:t>
            </w:r>
          </w:p>
        </w:tc>
      </w:tr>
      <w:tr w:rsidR="00BA17D2" w:rsidRPr="00BA17D2" w:rsidTr="00BA17D2">
        <w:tc>
          <w:tcPr>
            <w:tcW w:w="775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Омаров </w:t>
            </w:r>
            <w:proofErr w:type="spell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Махач</w:t>
            </w:r>
            <w:proofErr w:type="spellEnd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Гасангусейнович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1951</w:t>
            </w:r>
          </w:p>
        </w:tc>
      </w:tr>
      <w:tr w:rsidR="00BA17D2" w:rsidRPr="00BA17D2" w:rsidTr="00BA17D2">
        <w:tc>
          <w:tcPr>
            <w:tcW w:w="775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Матвеенко Евгений Владимирович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1959</w:t>
            </w:r>
          </w:p>
        </w:tc>
      </w:tr>
      <w:tr w:rsidR="00BA17D2" w:rsidRPr="00BA17D2" w:rsidTr="00BA17D2">
        <w:tc>
          <w:tcPr>
            <w:tcW w:w="775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Исмаилов Магомед </w:t>
            </w:r>
            <w:proofErr w:type="spell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1955</w:t>
            </w:r>
          </w:p>
        </w:tc>
      </w:tr>
      <w:tr w:rsidR="00BA17D2" w:rsidRPr="00BA17D2" w:rsidTr="00BA17D2">
        <w:tc>
          <w:tcPr>
            <w:tcW w:w="775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Бабаев </w:t>
            </w:r>
            <w:proofErr w:type="spell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Нурбек</w:t>
            </w:r>
            <w:proofErr w:type="spellEnd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Абдурашидович</w:t>
            </w:r>
            <w:proofErr w:type="spellEnd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(председатель)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1949</w:t>
            </w:r>
          </w:p>
        </w:tc>
      </w:tr>
      <w:tr w:rsidR="00BA17D2" w:rsidRPr="00BA17D2" w:rsidTr="00BA17D2">
        <w:tc>
          <w:tcPr>
            <w:tcW w:w="775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Шипилова Елена Федоровна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1953</w:t>
            </w:r>
          </w:p>
        </w:tc>
      </w:tr>
      <w:tr w:rsidR="00BA17D2" w:rsidRPr="00BA17D2" w:rsidTr="00BA17D2">
        <w:tc>
          <w:tcPr>
            <w:tcW w:w="775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Султанматов</w:t>
            </w:r>
            <w:proofErr w:type="spellEnd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Султансаид</w:t>
            </w:r>
            <w:proofErr w:type="spellEnd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Издиевич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1957</w:t>
            </w:r>
          </w:p>
        </w:tc>
      </w:tr>
      <w:tr w:rsidR="00BA17D2" w:rsidRPr="00BA17D2" w:rsidTr="00BA17D2">
        <w:tc>
          <w:tcPr>
            <w:tcW w:w="775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Мирзаев</w:t>
            </w:r>
            <w:proofErr w:type="spellEnd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Насрулаевич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</w:tr>
    </w:tbl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Единоличный исполнительный орган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752"/>
        <w:gridCol w:w="1500"/>
      </w:tblGrid>
      <w:tr w:rsidR="00BA17D2" w:rsidRPr="00BA17D2" w:rsidTr="00BA17D2">
        <w:tc>
          <w:tcPr>
            <w:tcW w:w="775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5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рождения</w:t>
            </w:r>
          </w:p>
        </w:tc>
      </w:tr>
      <w:tr w:rsidR="00BA17D2" w:rsidRPr="00BA17D2" w:rsidTr="00BA17D2">
        <w:tc>
          <w:tcPr>
            <w:tcW w:w="775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Папалашов</w:t>
            </w:r>
            <w:proofErr w:type="spellEnd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Абдулвагаб</w:t>
            </w:r>
            <w:proofErr w:type="spellEnd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Яхьяевич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1947</w:t>
            </w:r>
          </w:p>
        </w:tc>
      </w:tr>
    </w:tbl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 коллегиального исполнительного органа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1.2. Сведения о банковских счетах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кредитной организации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Полное фирменное наименование: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 Филиал «Центральный» Банка ”ВТБ</w:t>
      </w:r>
      <w:proofErr w:type="gram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”(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ПАО) г. Москва ,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БИК 044525411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счета: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4070281020000010899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Корр. счет: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30101810145250000411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Тип счета: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расчётный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1.3. Сведения об аудиторе (аудиторах)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информация об аудиторе (аудиторах), осуществляющем (осуществившем) независимую проверку бухгалтерской (финансовой) отчетности эмитента, а также сводной бухгалтерской (консолидированной финансовой) отчетности эмитента и (или) группы организаций, являющихся по отношению друг к другу контролирующим и подконтрольным лицами либо обязанных составлять такую отчетность по иным основаниям и в порядке, которые предусмотрены федеральными законами, если хотя бы одной из указанных организаций является эмитент (далее</w:t>
      </w:r>
      <w:proofErr w:type="gramEnd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сводная бухгалтерская (консолидированная финансовая) отчетность эмитента), входящей в состав ежеквартального отчета, на основании заключенного с ним договора, а также об аудиторе (аудиторах), утвержденном (выбранном) для аудита годовой бухгалтерской (финансовой) отчетности эмитента, в том числе его сводной бухгалтерской (консолидированной финансовой) отчетности, за текущий и последний завершенный финансовый год.</w:t>
      </w:r>
      <w:proofErr w:type="gramEnd"/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Полное фирменное наименование: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ООО  "АНЖИ КАПИТАЛ МЕНЕДЖНЕНТ"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Сокращенное фирменное наименование: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ООО "АНЖИ КАПИТАЛ МЕНЕДЖНЕНТ"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нахождения: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г. Махачкала, ул. </w:t>
      </w:r>
      <w:proofErr w:type="spell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Мурсалова</w:t>
      </w:r>
      <w:proofErr w:type="spell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, 44.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0562008738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1200500003956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89882966401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Факс: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Адреса электронной почты не имеет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Данные о членстве аудитора в саморегулируемых организациях аудиторов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Аудитор не является членом саморегулируемой организац</w:t>
      </w:r>
      <w:proofErr w:type="gram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ии ау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диторов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Финансовый год (годы) из числа последних пяти завершенных финансовых лет и текущего финансового года, за который (за которые) аудитором проводилась (будет проводиться) независимая проверка годовой бухгалтерской (финансовой) отчетности эмитента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592"/>
        <w:gridCol w:w="2520"/>
        <w:gridCol w:w="2520"/>
      </w:tblGrid>
      <w:tr w:rsidR="00BA17D2" w:rsidRPr="00BA17D2" w:rsidTr="00BA17D2">
        <w:tc>
          <w:tcPr>
            <w:tcW w:w="259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Бухгалтерская (финансовая) отчетность, Год</w:t>
            </w:r>
          </w:p>
        </w:tc>
        <w:tc>
          <w:tcPr>
            <w:tcW w:w="25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Сводная бухгалтерская отчетность, Год</w:t>
            </w:r>
          </w:p>
        </w:tc>
        <w:tc>
          <w:tcPr>
            <w:tcW w:w="25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Консолидированная финансовая отчетность, Год</w:t>
            </w:r>
          </w:p>
        </w:tc>
      </w:tr>
      <w:tr w:rsidR="00BA17D2" w:rsidRPr="00BA17D2" w:rsidTr="00BA17D2">
        <w:tc>
          <w:tcPr>
            <w:tcW w:w="259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Факторы, которые могут оказать влияние на независимость аудитора от эмитента, в том числе информация о наличии существенных интересов, связывающих аудитора (должностных лиц аудитора) с эмитентом (должностными лицами эмитента)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Факторов, которые могут оказать влияние на независимость аудитора от эмитента, а также 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существенных интересов, связывающих аудитора (должностных лиц аудитора) с эмитентом (должностными лицами эмитента), нет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Порядок выбора аудитора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Наличие процедуры тендера, связанного с выбором аудитора, и его основные условия: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Аудитор утверждается годовым Общим собранием акционеров на основании предложений Совета директоров в соответствии с действующим законодательством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Процедура выдвижения кандидатуры аудитора для утверждения собранием акционеров (участников), в том числе орган управления, принимающий соответствующее решение: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информация о работах, проводимых аудитором в рамках специальных аудиторских заданий: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С аудитором заключен договор №01 о проведен</w:t>
      </w:r>
      <w:proofErr w:type="gram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ии ау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диторской проверки финансово-хозяйственной деятельности эмитента от 06.03.2015г. Аудитор даёт заключение по финансовым отчётам, проводит текущее консультирование по вопросам бухгалтерского учёта, налогообложения, общее юридическое консультирование, защита интересов в органах арбитража и суда и др.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Описывается порядок определения размера вознаграждения аудитора, указывается фактический размер вознаграждения, выплаченного эмитентом аудитору по итогам последнего завершенного финансового года, за который аудитором проводилась независимая проверка бухгалтерской (</w:t>
      </w: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финансовой) </w:t>
      </w:r>
      <w:proofErr w:type="gramEnd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отчетности эмитента, приводится информация о наличии отсроченных и просроченных платежей за оказанные аудитором услуги: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Согласно договора окончательная оплата производится заказчиком в течени</w:t>
      </w:r>
      <w:proofErr w:type="gram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и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10 дней по завершению проверки, предоставления аудиторского заключения и подписания акта приёма-сдачи выполненных работ.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Приводится информация о наличии отсроченных и просроченных платежей за оказанные аудитором услуги: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нет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1.4. Сведения об оценщике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Оценщики по основаниям, перечисленным в настоящем пункте, в течение 12 месяцев до даты окончания отчетного квартала не привлекались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1.5. Сведения о консультантах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Финансовые консультанты по основаниям, перечисленным в настоящем пункте, в течение 12 месяцев до даты окончания отчетного квартала не привлекались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1.6. Сведения об иных лицах, подписавших ежеквартальный отчет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Иных подписей нет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36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Основная информация о финансово-экономическом состоянии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2.1. Показатели финансово-экономической деятельности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 связи с тем, что ценные бумаги эмитента не включены в список ценных бумаг, допущенных к торгам на организаторе торговли на рынке ценных бумаг, и эмитент не является организацией, предоставившей обеспечение по облигациям другого эмитента, которые включены в список ценных бумаг, допущенных к торгам на организаторе торговли на рынке ценных бумаг, на основании п.10.10 Положения о раскрытии информации настоящая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информация эмитентом в ежеквартальный отчет не включается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2.2. Рыночная капитализация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указывается эмитентами, обыкновенные именные акции которых не допущены к обращению организатором торговли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2.3. Обязательства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2.3.1. Заемные средства и кредиторская задолженность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В связи с тем, что ценные бумаги эмитента не включены в список ценных бумаг, допущенных к торгам на организаторе торговли на рынке ценных бумаг, и эмитент не является организацией, 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предоставившей обеспечение по облигациям другого эмитента, которые включены в список ценных бумаг, допущенных к торгам на организаторе торговли на рынке ценных бумаг, на основании п. 10.10 Положения о раскрытии информации настоящая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информация эмитентом в ежеквартальный отчет не включается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2.3.2. Кредитная история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Описывается исполнение эмитентом обязательств по действовавшим в течение последнего завершенного финансового года и текущего финансового года кредитным договорам и/или договорам займа, в том числе заключенным путем выпуска и продажи облигаций, сумма основного долга по которым составляла 5 и более процентов балансовой стоимости активов эмитента на дату окончания последнего завершенного отчетного периода (квартала, года), предшествовавшего заключению соответствующего договора, в отношении</w:t>
      </w:r>
      <w:proofErr w:type="gramEnd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которого истек установленный срок представления бухгалтерской (финансовой) отчетности, а также иным кредитным договорам и/или договорам займа, которые эмитент считает для себя существенными.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Эмитент не имел указанных обязательств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2.3.3. Обязательства эмитента из обеспечения, предоставленного третьим лицам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Указанные обязательства отсутствуют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2.3.4. Прочие обязательства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Прочих обязательств, не отраженных в бухгалтерской (финансовой) отчетности, которые могут существенно отразиться на финансовом состоянии эмитента, его ликвидности, источниках финансирования и условиях их использования, результатах деятельности и расходов, не имеется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2.4. Риски, связанные с приобретением размещаемых (размещенных) эмиссионных ценных бумаг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Политика эмитента в области управления рисками: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2.4.1. Отраслевые риски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Влияние возможного ухудшения ситуации в отрасли предприятия на его деятельность и выпуск продукции незначительно.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 xml:space="preserve">2.4.2. </w:t>
      </w:r>
      <w:proofErr w:type="spellStart"/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Страновые</w:t>
      </w:r>
      <w:proofErr w:type="spellEnd"/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 xml:space="preserve"> и региональные риски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 ближайшее время не прогнозирует отрицательных изменений в России, которые могут негативно повлиять на экономическое положение общества и его деятельность.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        Прогнозируемый рост ВРП, рост производства в Дагестанском регионе даёт основания делать положительный прогноз в отношении развития общества.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       Общество оценивает  политическую и экономическую ситуацию в регионе как стабильную.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2.4.3. Финансовые риски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Подразумевает риск ненадлежащего выполнения должниками обязательств по оплате. Некоторые заказчики и арендаторы нарушают свои договорные обязательства по срокам оплаты.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2.4.4. Правовые риски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Законодательство Российской Федерации - развивающееся законодательство, следовательно, нельзя полностью исключить риск изменений в более неблагоприятную сторону, например, в налоговом законодательстве, законодательстве о лицензировании, судебной практике, что может отразиться на результатах деятельности предприятия.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       Изменение налогового законодательства, в части увеличения налоговых ставок или изменения порядка и сроков расчета и уплаты налогов, может привести к уменьшению чистой прибыли предприятия, что в свою очередь приведет к снижению размера выплачиваемых </w:t>
      </w:r>
      <w:proofErr w:type="spell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дивидентов</w:t>
      </w:r>
      <w:proofErr w:type="spell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.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       За истекший квартал не произошло никаких существенных изменений валютного, налогового, таможенного и иного законодательства, которые могли бы привести к возникновению правовых рисков для АО "Завод им. Гаджиева".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2.4.5. Риски, связанные с деятельностью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 настоящее время АО "Завод им. Гаджиева" не подвержено рискам, связанным с текущими процессами, а также с возможностью лишения лицензий на осуществление основных видов производственной деятельности.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36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Подробная информация об эмитенте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3.1. История создания и развитие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3.1.1. Данные о фирменном наименовании (наименовании)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Полное фирменное наименование эмитента: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Акционерное общество "Завод им. Гаджиева"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введения действующего полного фирменного наименования: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13.05.2016г.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Сокращенное фирменное наименование эмитента: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АО "Завод им. Гаджиева"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введения действующего сокращенного фирменного наименования: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13.05.2016г.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 предшествующие наименования эмитента в течение времени его существования  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  Наименование эмитента в течение времени его существования поменялось 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13.05.2016г. ОАО «Завод им. Гаджиева» поменяло наименование  на  АО «Завод им. Гаджиева».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3.1.2. Сведения о государственной регистрации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Данные о первичной государственной регистрации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государственной регистрации: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145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государственной регистрации: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11.02.1993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органа, осуществившего государственную регистрацию: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Ленинский райсовет Народных депутатов г. Махачкала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Данные о регистрации юридического лица: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Основной государственный регистрационный номер юридического лица: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1020502524130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внесения записи о юридическом лице, зарегистрированном до 1 июля 2002 года, в единый государственный реестр юридических лиц: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29.10.2002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регистрирующего органа: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Инспекция МНС по Ленинскому району г. Махачкала РД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3.1.3. Сведения о создании и развитии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Эмитент создан на неопределенный срок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Краткое описание истории создания и развития эмитента. Цели создания эмитента, миссия эмитента (при наличии), и иная информация о деятельности эмитента, имеющая значение для принятия решения о приобретении ценных бумаг эмитента: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Завод им. Гаджиева является первенцем Дагестанской промышленности, создан в годы первой пятилетки как база для становления народного хозяйства республики. 7 ноября 1932 года является днем рождения завода. В довоенный период завод специализировался как ремонтно-механический. В годы Великой Отечественной войны основной продукцией стала военная - противотанковые снаряды, мины, ремонт военной техники, начал выпускать продукцию для нужд морского флота: рулевые машины, якорные лебедки и др.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  В декабре 1942г. заводу было присвоено имя Героя Советского Союза, капитана II ранга Магомеда Гаджиева.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  Открытое акционерное общество "Завод им. Гаджиева" учреждено в соответствии с Законом РСФСР от 3 июля 1991 года "О приватизации государственных и муниципальных предприятий" и Указом Президента Российской Федерации от 1 июля 1992 года №721 "Об организационных мерах по преобразованию государственных предприятий в "Акционерные общества". Общество является правопреемником государственного предприятия "Завод им. Гаджиева".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  Являясь машиностроительным предприятием, входящим  в Федеральное агентство по промышленности РФ, на протяжении многих десятилетий и в настоящее время является ведущим в России и СНГ разработчиком, производителем и поставщиком различного оборудования для многих отраслей народного хозяйства, насосов, </w:t>
      </w:r>
      <w:proofErr w:type="spell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разлияной</w:t>
      </w:r>
      <w:proofErr w:type="spell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трубопроводной арматуры, поворотных затворов, гибких металлических шлангов.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 xml:space="preserve">  Завод обеспечивает не только нефтегазовый и народно-хозяйственный рынок, но и работает для оборонной промышленности страны.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  Сегодня завод сохранил необходимые производственные мощности и высококвалифицированные кадры инженерно-технических работников и цеховых рабочих, что позволяет обеспечить высокое качество выпускаемых изделий и требуемые объемы их производства.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3.1.4. Контактная информация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нахождения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proofErr w:type="gram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Юридический адрес: 368304,  Россия, Республика Дагестан, г. Каспийск,  ул. Производственная, д.4.  </w:t>
      </w:r>
      <w:proofErr w:type="gramEnd"/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Фактический адрес: 367013, Россия, Республика Дагестан, г. Махачкала, ул. Юсупова, д.51</w:t>
      </w:r>
      <w:proofErr w:type="gramEnd"/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68-13-66, 68-13-63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Факс: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8-720-68-13-79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электронной почты: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aozg@mail.ru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страницы (страниц) в сети Интернет, на которой (на которых) доступна информация об эмитенте, выпущенных и/или выпускаемых им ценных бумагах: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www.e-disclosure.ru/portal/company.aspx?id=3533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3.1.5. Идентификационный номер налогоплательщика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0541000946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3.1.6. Филиалы и представительства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Эмитент не имеет филиалов и представительств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3.2. Основная хозяйственная деятельность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3.2.1. Отраслевая принадлежность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Основное отраслевое направление деятельности эмитента согласно ОКВЭД.: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28.13.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3.2.2. Основная хозяйственная деятельность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 связи с тем, что ценные бумаги эмитента не включены в список ценных бумаг, допущенных к торгам на организаторе торговли на рынке ценных бумаг, и эмитент не является организацией, предоставившей обеспечение по облигациям другого эмитента, которые включены в список ценных бумаг, допущенных к торгам на организаторе торговли на рынке ценных бумаг, на основании п. 10.10 Положения о раскрытии информации настоящая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информация эмитентом в ежеквартальный отчет не включается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3.2.3. Материалы, товары (сырье) и поставщики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 связи с тем, что ценные бумаги эмитента не включены в список ценных бумаг, допущенных к торгам на организаторе торговли на рынке ценных бумаг, и эмитент не является организацией, предоставившей обеспечение по облигациям другого эмитента, которые включены в список ценных бумаг, допущенных к торгам на организаторе торговли на рынке ценных бумаг, на основании п. 10.10 Положения о раскрытии информации настоящая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информация эмитентом в ежеквартальный отчет не включается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3.2.4. Рынки сбыта продукции (работ, услуг)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Основные рынки, на которых эмитент осуществляет свою деятельность: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1. ОАО "ССЗ Северная верфь" г. С-Петербург - рулевые машины, поворотные затворы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2. ЗАО "</w:t>
      </w:r>
      <w:proofErr w:type="spell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Комплексснаб</w:t>
      </w:r>
      <w:proofErr w:type="spell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" г. Москва - арматура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3. ОАО "СФ "Алмаз" г. С-Петербург - рулевые машины, поворотные затворы, насосы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4. ОАО "Восточная верфь" г. Владивосток - рулевые машины, насосы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5. ОАО</w:t>
      </w:r>
      <w:proofErr w:type="gram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"С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З ВЫМПЕЛ", г. Рыбинск - насосы, рулевые машины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6. ООО "Сантехкомплект"- 30 и 39 </w:t>
      </w:r>
      <w:proofErr w:type="gram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р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г. Москва  задвижки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Факторы, которые могут негативно повлиять на сбыт эмитентом его продукции (работ, услуг), и возможные действия эмитента по уменьшению такого влияния: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нет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3.2.5. Сведения о налич</w:t>
      </w:r>
      <w:proofErr w:type="gramStart"/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ии у э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 xml:space="preserve">митента разрешений (лицензий) или допусков к отдельным </w:t>
      </w: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видам работ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(организация), выдавший соответствующее разрешение (лицензию) или допуск к отдельным видам работ: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Управление ФСБ России по РД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разрешения (лицензии) или документа, подтверждающего получение допуска к отдельным видам работ: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579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 деятельности (работ), на осуществление (проведение) которых эмитентом получено соответствующее разрешение (лицензия) или допуск: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Осуществление работ с использований сведений, составляющих государственную тайну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выдачи разрешения (лицензии) или допуска к отдельным видам работ: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16.07.2020г.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 действия разрешения (лицензии) или допуска к отдельным видам работ: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16.07.2025г.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 (организация), выдавший соответствующее разрешение (лицензию) или допуск к отдельным видам </w:t>
      </w:r>
      <w:proofErr w:type="spell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</w:t>
      </w: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Р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остехнадзор</w:t>
      </w:r>
      <w:proofErr w:type="spellEnd"/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разрешения (лицензии) или документа, подтверждающего получение допуска к отдельным видам работ: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ЭХ-32-000675 (Х)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 деятельности (работ), на осуществление (проведение) которых эмитентом получено соответствующее разрешение (лицензия) или допуск: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Эксплуатация химически опасных производственных объектов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выдачи разрешения (лицензии) или допуска к отдельным видам работ: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25.06.2021г.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Срок действия разрешения (лицензии) или допуска к отдельным видам </w:t>
      </w:r>
      <w:proofErr w:type="spell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</w:t>
      </w: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б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ессрочно</w:t>
      </w:r>
      <w:proofErr w:type="spellEnd"/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(организация), выдавший соответствующее разрешение (лицензию) или допуск к отдельным видам работ: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Федеральная служба по надзору в сфере связи, информационных технологий и массовых коммуникаций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разрешения (лицензии) или документа, подтверждающего получение допуска к отдельным видам работ: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149591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 деятельности (работ), на осуществление (проведение) которых эмитентом получено соответствующее разрешение (лицензия) или допуск: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На предоставление услуг местной телефонной связи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выдачи разрешения (лицензии) или допуска к отдельным видам работ: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24.01.2021г.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 действия разрешения (лицензии) или допуска к отдельным видам работ: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24.01.2027г.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3.2.6. Сведения о деятельности отдельных категорий эмитентов эмиссионных ценных бумаг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3.2.7. Дополнительные требования к эмитентам, основной деятельностью которых является добыча полезных ископаемых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Основной деятельностью эмитента не является добыча полезных ископаемых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3.2.8. Дополнительные требования к эмитентам, основной деятельностью которых является оказание услуг связи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Основной деятельностью эмитента не является оказание услуг связи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3.3. Планы будущей деятельности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1. Произведена подготовка производства на серийное производство  скважинных винтовых насосов Н1ВС 10,7 с удлиненным шагом, а также изготовлены первые комплекты обойм для изготовления насоса Н1ВС15,6. Произведено упорядочение типоразмеров насосов типа Н1ВС с корректировкой КД в установленном порядке.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2.  Разработан комплект конструкторской документации на водяной насос  для бытовых нужд –     обеспечения водой коттеджей, полива приусадебных участков и т.д.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3. Разработан чертеж для маховика задвижек с обрезиненным клином Ду50 и выдан ОГТ для изготовления опытных образцов.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3.4. Участие эмитента в банковских группах, банковских холдингах, холдингах и ассоциациях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Эмитент не участвует в банковских группах, банковских холдингах, холдингах и ассоциациях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3.5. Подконтрольные эмитенту организации, имеющие для него существенное значение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Эмитент не имеет подконтрольных организаций, имеющих для него существенное значение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 xml:space="preserve">3.6. Состав, структура и стоимость основных средств эмитента, информация о планах по </w:t>
      </w: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приобретению, замене, выбытию основных средств, а также обо всех фактах обременения основных средств эмитента</w:t>
      </w:r>
    </w:p>
    <w:p w:rsidR="00BA17D2" w:rsidRPr="00BA17D2" w:rsidRDefault="00BA17D2" w:rsidP="00BA17D2">
      <w:pPr>
        <w:widowControl w:val="0"/>
        <w:tabs>
          <w:tab w:val="left" w:pos="8085"/>
        </w:tabs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3.6.1. Основные средства</w:t>
      </w: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BA17D2" w:rsidRPr="00BA17D2" w:rsidRDefault="00BA17D2" w:rsidP="00BA17D2">
      <w:pPr>
        <w:widowControl w:val="0"/>
        <w:tabs>
          <w:tab w:val="left" w:pos="1410"/>
        </w:tabs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За 2024 г.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Единица измерения: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тыс. руб.</w:t>
      </w:r>
    </w:p>
    <w:tbl>
      <w:tblPr>
        <w:tblW w:w="9255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6495"/>
        <w:gridCol w:w="1360"/>
        <w:gridCol w:w="1400"/>
      </w:tblGrid>
      <w:tr w:rsidR="00BA17D2" w:rsidRPr="00BA17D2" w:rsidTr="00BA17D2">
        <w:tc>
          <w:tcPr>
            <w:tcW w:w="649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группы объектов основных средств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Первоначальная (восстановительная) стоимость</w:t>
            </w:r>
          </w:p>
        </w:tc>
        <w:tc>
          <w:tcPr>
            <w:tcW w:w="14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начисленной амортизации</w:t>
            </w:r>
          </w:p>
        </w:tc>
      </w:tr>
      <w:tr w:rsidR="00BA17D2" w:rsidRPr="00BA17D2" w:rsidTr="00BA17D2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Здания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230215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51204</w:t>
            </w:r>
          </w:p>
        </w:tc>
      </w:tr>
      <w:tr w:rsidR="00BA17D2" w:rsidRPr="00BA17D2" w:rsidTr="00BA17D2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сооружения и передаточные устройства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62763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16445</w:t>
            </w:r>
          </w:p>
        </w:tc>
      </w:tr>
      <w:tr w:rsidR="00BA17D2" w:rsidRPr="00BA17D2" w:rsidTr="00BA17D2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297873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175662</w:t>
            </w:r>
          </w:p>
        </w:tc>
      </w:tr>
      <w:tr w:rsidR="00BA17D2" w:rsidRPr="00BA17D2" w:rsidTr="00BA17D2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15534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9256</w:t>
            </w:r>
          </w:p>
        </w:tc>
      </w:tr>
      <w:tr w:rsidR="00BA17D2" w:rsidRPr="00BA17D2" w:rsidTr="00BA17D2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производственный и хозяйственный инвентарь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3474</w:t>
            </w:r>
          </w:p>
        </w:tc>
      </w:tr>
      <w:tr w:rsidR="00BA17D2" w:rsidRPr="00BA17D2" w:rsidTr="00BA17D2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1560</w:t>
            </w:r>
          </w:p>
        </w:tc>
      </w:tr>
      <w:tr w:rsidR="00BA17D2" w:rsidRPr="00BA17D2" w:rsidTr="00BA17D2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2605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0</w:t>
            </w:r>
          </w:p>
        </w:tc>
      </w:tr>
      <w:tr w:rsidR="00BA17D2" w:rsidRPr="00BA17D2" w:rsidTr="00BA17D2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614108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257601</w:t>
            </w:r>
          </w:p>
        </w:tc>
      </w:tr>
    </w:tbl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способах начисления амортизационных отчислений по группам объектов основных средств: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Отчетная дата: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31.12.2024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дату окончания отчетного квартала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Единица измерения: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тыс. руб.</w:t>
      </w:r>
    </w:p>
    <w:tbl>
      <w:tblPr>
        <w:tblW w:w="9255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6495"/>
        <w:gridCol w:w="1360"/>
        <w:gridCol w:w="1400"/>
      </w:tblGrid>
      <w:tr w:rsidR="00BA17D2" w:rsidRPr="00BA17D2" w:rsidTr="00BA17D2">
        <w:tc>
          <w:tcPr>
            <w:tcW w:w="649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группы объектов основных средств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Первоначальная (восстановительная) стоимость</w:t>
            </w:r>
          </w:p>
        </w:tc>
        <w:tc>
          <w:tcPr>
            <w:tcW w:w="14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начисленной амортизации</w:t>
            </w:r>
          </w:p>
        </w:tc>
      </w:tr>
      <w:tr w:rsidR="00BA17D2" w:rsidRPr="00BA17D2" w:rsidTr="00BA17D2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Здания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241048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54819</w:t>
            </w:r>
          </w:p>
        </w:tc>
      </w:tr>
      <w:tr w:rsidR="00BA17D2" w:rsidRPr="00BA17D2" w:rsidTr="00BA17D2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сооружения и передаточные устройства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62763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18266</w:t>
            </w:r>
          </w:p>
        </w:tc>
      </w:tr>
      <w:tr w:rsidR="00BA17D2" w:rsidRPr="00BA17D2" w:rsidTr="00BA17D2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297423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185436</w:t>
            </w:r>
          </w:p>
        </w:tc>
      </w:tr>
      <w:tr w:rsidR="00BA17D2" w:rsidRPr="00BA17D2" w:rsidTr="00BA17D2">
        <w:trPr>
          <w:trHeight w:val="222"/>
        </w:trPr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15221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9664</w:t>
            </w:r>
          </w:p>
        </w:tc>
      </w:tr>
      <w:tr w:rsidR="00BA17D2" w:rsidRPr="00BA17D2" w:rsidTr="00BA17D2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производственный и хозяйственный инвентарь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3523</w:t>
            </w:r>
          </w:p>
        </w:tc>
      </w:tr>
      <w:tr w:rsidR="00BA17D2" w:rsidRPr="00BA17D2" w:rsidTr="00BA17D2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1560</w:t>
            </w:r>
          </w:p>
        </w:tc>
      </w:tr>
      <w:tr w:rsidR="00BA17D2" w:rsidRPr="00BA17D2" w:rsidTr="00BA17D2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2605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A17D2" w:rsidRPr="00BA17D2" w:rsidTr="00BA17D2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624178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273268</w:t>
            </w:r>
          </w:p>
        </w:tc>
      </w:tr>
    </w:tbl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способах начисления амортизационных отчислений по группам объектов основных средств: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Отчетная дата: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30.06.2025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Результаты последней переоценки основных средств и долгосрочно арендуемых основных средств, осуществленной в течение последнего завершенного финансового года, с указанием даты проведения переоценки, полной и остаточной (за вычетом амортизации) балансовой стоимости основных средств до переоценки и полной и остаточной (за вычетом амортизации) восстановительной стоимости основных средств с учетом этой переоценки. Указанная информация приводится по группам объектов основных средств. Указываются сведения о способах начисления амортизационных отчислений по группам объектов основных средств.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Переоценка основных средств за указанный период не проводилась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Указываются сведения о планах по приобретению, замене, выбытию основных средств, стоимость которых составляет 10 и более процентов стоимости основных средств эмитента, и иных основных средств по усмотрению эмитента, а также сведения обо всех фактах обременения основных средств 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эмитента (с указанием характера обременения, даты возникновения обременения, срока его действия и иных условий по усмотрению эмитента).:</w:t>
      </w:r>
      <w:proofErr w:type="gramEnd"/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36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Сведения о финансово-хозяйственной деятельности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4.1. Результаты финансово-хозяйственной деятельности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 связи с тем, что ценные бумаги эмитента не включены в список ценных бумаг, допущенных к торгам на организаторе торговли на рынке ценных бумаг, и эмитент не является организацией, предоставившей обеспечение по облигациям другого эмитента, которые включены в список ценных бумаг, допущенных к торгам на организаторе торговли на рынке ценных бумаг, на основании п. 10.10 Положения о раскрытии информации настоящая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информация эмитентом в ежеквартальный отчет не включается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4.2. Ликвидность эмитента, достаточность капитала и оборотных средств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 связи с тем, что ценные бумаги эмитента не включены в список ценных бумаг, допущенных к торгам на организаторе торговли на рынке ценных бумаг, и эмитент не является организацией, предоставившей обеспечение по облигациям другого эмитента, которые включены в список ценных бумаг, допущенных к торгам на организаторе торговли на рынке ценных бумаг, на основании п. 10.10 Положения о раскрытии информации настоящая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информация эмитентом в ежеквартальный отчет не включается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4.3. Финансовые вложения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 связи с тем, что ценные бумаги эмитента не включены в список ценных бумаг, допущенных к торгам на организаторе торговли на рынке ценных бумаг, и эмитент не является организацией, предоставившей обеспечение по облигациям другого эмитента, которые включены в список ценных бумаг, допущенных к торгам на организаторе торговли на рынке ценных бумаг, на основании п. 10.10 Положения о раскрытии информации настоящая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информация эмитентом в ежеквартальный отчет не включается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4.4. Нематериальные активы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За 2024 г.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Единица измерения: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руб.</w:t>
      </w:r>
    </w:p>
    <w:tbl>
      <w:tblPr>
        <w:tblW w:w="9255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13"/>
        <w:gridCol w:w="2261"/>
        <w:gridCol w:w="1881"/>
      </w:tblGrid>
      <w:tr w:rsidR="00BA17D2" w:rsidRPr="00BA17D2" w:rsidTr="00BA17D2">
        <w:tc>
          <w:tcPr>
            <w:tcW w:w="511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группы объектов нематериальных активов</w:t>
            </w:r>
          </w:p>
        </w:tc>
        <w:tc>
          <w:tcPr>
            <w:tcW w:w="22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Первоначальная (восстановительная) стоимость</w:t>
            </w:r>
          </w:p>
        </w:tc>
        <w:tc>
          <w:tcPr>
            <w:tcW w:w="18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начисленной амортизации</w:t>
            </w:r>
          </w:p>
        </w:tc>
      </w:tr>
      <w:tr w:rsidR="00BA17D2" w:rsidRPr="00BA17D2" w:rsidTr="00BA17D2">
        <w:tc>
          <w:tcPr>
            <w:tcW w:w="51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Лицензия на право пользования недрами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42690</w:t>
            </w:r>
          </w:p>
        </w:tc>
      </w:tr>
      <w:tr w:rsidR="00BA17D2" w:rsidRPr="00BA17D2" w:rsidTr="00BA17D2">
        <w:tc>
          <w:tcPr>
            <w:tcW w:w="51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Товарный знак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65 000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65000</w:t>
            </w:r>
          </w:p>
        </w:tc>
      </w:tr>
      <w:tr w:rsidR="00BA17D2" w:rsidRPr="00BA17D2" w:rsidTr="00BA17D2">
        <w:tc>
          <w:tcPr>
            <w:tcW w:w="511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205000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107690</w:t>
            </w:r>
          </w:p>
        </w:tc>
      </w:tr>
    </w:tbl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Отчетная дата: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31.12.2024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дату окончания отчетного квартала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Единица измерения: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руб.</w:t>
      </w:r>
    </w:p>
    <w:tbl>
      <w:tblPr>
        <w:tblW w:w="9255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13"/>
        <w:gridCol w:w="2261"/>
        <w:gridCol w:w="1881"/>
      </w:tblGrid>
      <w:tr w:rsidR="00BA17D2" w:rsidRPr="00BA17D2" w:rsidTr="00BA17D2">
        <w:tc>
          <w:tcPr>
            <w:tcW w:w="511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группы объектов нематериальных активов</w:t>
            </w:r>
          </w:p>
        </w:tc>
        <w:tc>
          <w:tcPr>
            <w:tcW w:w="22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Первоначальная (восстановительная) стоимость</w:t>
            </w:r>
          </w:p>
        </w:tc>
        <w:tc>
          <w:tcPr>
            <w:tcW w:w="18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начисленной амортизации</w:t>
            </w:r>
          </w:p>
        </w:tc>
      </w:tr>
      <w:tr w:rsidR="00BA17D2" w:rsidRPr="00BA17D2" w:rsidTr="00BA17D2">
        <w:tc>
          <w:tcPr>
            <w:tcW w:w="51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Лицензия на право пользования недрами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140000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46475</w:t>
            </w:r>
          </w:p>
        </w:tc>
      </w:tr>
      <w:tr w:rsidR="00BA17D2" w:rsidRPr="00BA17D2" w:rsidTr="00BA17D2">
        <w:tc>
          <w:tcPr>
            <w:tcW w:w="51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Товарный знак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65000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65000</w:t>
            </w:r>
          </w:p>
        </w:tc>
      </w:tr>
      <w:tr w:rsidR="00BA17D2" w:rsidRPr="00BA17D2" w:rsidTr="00BA17D2">
        <w:tc>
          <w:tcPr>
            <w:tcW w:w="511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205000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111457</w:t>
            </w:r>
          </w:p>
        </w:tc>
      </w:tr>
    </w:tbl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Отчетная дата: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30.06.2025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4.5. Сведения о политике и расходах эмитента в области научно-технического развития, в отношении лицензий и патентов, новых разработок и исследований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1. Произведена разработка конструкции универсального опорного узла с  усиленным валом, рассчитанный на крутящий момент 1000 </w:t>
      </w:r>
      <w:proofErr w:type="spell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Нм</w:t>
      </w:r>
      <w:proofErr w:type="spellEnd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 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2. Произведена подготовительная работа с введением в КД   новых типоразмеров  насосов с подачей 10,7 и 15,6 м3/</w:t>
      </w:r>
      <w:proofErr w:type="spell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сут</w:t>
      </w:r>
      <w:proofErr w:type="spellEnd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с оформлением соответствующей конструкторской документации.  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3. Произведена подготовительная работа с проведением расчета нового кулачка для  нового типоразмера  насоса с подачей 19,5 м3/</w:t>
      </w:r>
      <w:proofErr w:type="spell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сут</w:t>
      </w:r>
      <w:proofErr w:type="spellEnd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 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4. Проработаны чертежи клиньев Ду50, 80 и 100 с целью уменьшения трудоемкости их изготовления и улучшения технологии изготовления и переданы в производство.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5. Выполнены в полном объеме 3D модели на поворотные затворы 587-182.181-05, 545-35.191 и 192.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6. Проведена большая работа по лицензионной и сертификационной части – в частности получены декларации Технического регламента Таможенного союза и сертификаты на нефтегазовую арматуру,  экспертные заключения на задвижку с обрезиненным клином, получена декларация о соответствии Техническому регламенту Таможенного союза на электронасосы типа Н1ВС и 1В.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4.6. Анализ тенденций развития в сфере основной деятельности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4.6.1. Анализ факторов и условий, влияющих на деятельность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Имеется определенный ро</w:t>
      </w:r>
      <w:proofErr w:type="gram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ст  спр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оса на продукцию судостроения, однако этот спрос недостаточен для полной загрузки нашего предприятия. В связи с этим завод вынужден искать дополнительные заказы вне своего профиля.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4.6.2. Конкуренты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1. АО «Буревестник» Ленинградская область, г. Гатчина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2. Производственная компания «Борец»  г. Москва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3. АО «ЭНА»  Московская область,  г. Щелково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4. Фирма «НЕТЧ» (Германия)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5. АО «Завод «</w:t>
      </w:r>
      <w:proofErr w:type="spellStart"/>
      <w:r w:rsidRPr="00BA17D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Водоприбор</w:t>
      </w:r>
      <w:proofErr w:type="spellEnd"/>
      <w:r w:rsidRPr="00BA17D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»  г. Москва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6. АО «Благовещенский арматурный завод»  Республика Башкортостан, 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г. Благовещенск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7. Муромский арматурный завод  задвижки 30ч 39р.,г</w:t>
      </w:r>
      <w:proofErr w:type="gramStart"/>
      <w:r w:rsidRPr="00BA17D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.М</w:t>
      </w:r>
      <w:proofErr w:type="gramEnd"/>
      <w:r w:rsidRPr="00BA17D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уром.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36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V. Подробные сведения о лицах, входящих в состав органов управления эмитента, органов эмитента по </w:t>
      </w:r>
      <w:proofErr w:type="gramStart"/>
      <w:r w:rsidRPr="00BA1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контролю за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его финансово-хозяйственной деятельностью, и краткие сведения о сотрудниках (работниках)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5.1. Сведения о структуре и компетенции органов управления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Полное описание структуры органов управления эмитента и их компетенции в соответствии с уставом (учредительными документами) эмитента: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Высшим органом Общества является Общее собрание акционеров.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</w:r>
      <w:proofErr w:type="gram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К компетенции Общего собрания акционеров относятся: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1) внесение изменений и дополнений в устав;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2) реорганизация Общества;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3) ликвидация Общества;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4) избрание членов Совета директоров и досрочное прекращение их полномочий;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5) определение количества, номинальной стоимости, категории объявленных акций и прав, предоставляемых этими акциями;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6) увеличение уставного капитала Общества путем увеличения номинальной стоимости акций;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</w:r>
      <w:proofErr w:type="gram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7) уменьшение уставного капитала Общества путем уменьшения номинальной стоимости акций;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8) избрание Генерального директора и досрочное прекращение его полномочий;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9) избрание Ревизионной комиссии Общества и досрочное прекращение его полномочий;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10) утверждение Аудитора Общества;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11) утверждение годовых отчетов, годовой бухгалтерской отчетности;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12) определение порядка ведения Общего собрания акционеров;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13) дробление и консолидация акций;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</w:r>
      <w:proofErr w:type="gram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14) утверждение внутренних документов, регулирующих деятельность органов Общества;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15) решение иных вопросов, предусмотренных Федеральным законом "Об акционерных обществах".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  Вопросы, отнесенные к компетенции Общего собрания акционеров, не могут быть переданы на 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решение Совету директоров Общества, за исключением вопросов, предусмотренных Федеральным законом "Об акционерных обществах".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  Совет директоров осуществляет общее руководство деятельностью общества, за исключением решения вопросов, отнесенных настоящим Уставом к компетенции Общего собрания акционеров.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</w:r>
      <w:proofErr w:type="gram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К компетенции Совета директоров относятся следующие вопросы: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1) определение приоритетных направлений деятельности Общества;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2) созыв годового и внеочередного Общих собраний акционеров;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3) утверждение повестки дня Общего собрания акционеров;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4) определение даты составления списка лиц, имеющих право на участие в Общем собрании акционеров, и другие вопросы, связанные с подготовкой и проведением Общего собрания акционеров;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5) увеличение уставного капитала Общества путём размещения Обществом дополнительных акций в пределах количества и категорий объявленных акций;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6) приобретение размещенных Обществом акций, облигаций и иных ценных бумаг в случаях, предусмотренных Федеральным законом "Об акционерных обществах";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7) назначение членов правления Общества и досрочное прекращение их полномочий;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</w:r>
      <w:proofErr w:type="gram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8) рекомендации по размеру выплачиваемых Ревизионной комиссии вознаграждений и компенсаций и определение размера оплаты услуг Аудитора;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9) рекомендации по размеру дивидендов по акциям и порядку их выплаты;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10) использование резервного и других фондов Общества;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11) создание филиалов и открытие представительств Общества;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12) принятие решений о заключении сделок кредита, поручительства, гарантии, залога;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13) утверждение регистратора Общества и условий договора с ним, а также расторжение договора с ним.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  Вопросы, отнесенные к компетенции Совета Директоров, не могут быть переданы на решение Генеральному директору Общества.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  Руководство текущей деятельностью Общества осуществляется Генеральным директором и Правлением Общества. Генеральный директор и правление </w:t>
      </w:r>
      <w:proofErr w:type="gram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подотчетны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Совету Директоров и Общему собранию акционеров.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  Правление является коллегиальным исполнительным органом.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  Правление состоит из генерального директора и его заместителей, руководителей основных структурных подразделений Общества, главного бухгалтера.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  К компетенции правления относятся все вопросы руководства текущей деятельности Общества, за исключением вопросов, отнесенных к компетенции Общего собрания акционеров или Совета директоров.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5.2. Информация о лицах, входящих в состав органов управления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5.2.1. Состав совета директоров (наблюдательного совета)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</w:t>
      </w: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Ш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тибеков</w:t>
      </w:r>
      <w:proofErr w:type="spell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Надир </w:t>
      </w:r>
      <w:proofErr w:type="spell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Рамазанович</w:t>
      </w:r>
      <w:proofErr w:type="spellEnd"/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 рождения: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1951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Образование: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высшее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  <w:proofErr w:type="gramEnd"/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255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33"/>
        <w:gridCol w:w="1260"/>
        <w:gridCol w:w="3981"/>
        <w:gridCol w:w="2681"/>
      </w:tblGrid>
      <w:tr w:rsidR="00BA17D2" w:rsidRPr="00BA17D2" w:rsidTr="00BA17D2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</w:tr>
      <w:tr w:rsidR="00BA17D2" w:rsidRPr="00BA17D2" w:rsidTr="00BA17D2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17D2" w:rsidRPr="00BA17D2" w:rsidTr="00BA17D2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</w:t>
            </w:r>
            <w:proofErr w:type="gram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ремя</w:t>
            </w:r>
            <w:proofErr w:type="spellEnd"/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"Завод им. Гаджиева"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планово-экономического отдела</w:t>
            </w:r>
          </w:p>
        </w:tc>
      </w:tr>
    </w:tbl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Доля участия лица в уставном капитале эмитента, %: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0.95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Доля принадлежащих лицу обыкновенных акций эмитента, %: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0.95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Доли участия лица в уставном (складочном) капитале (паевом фонде) дочерних и зависимых обществ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Лицо указанных долей не имеет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Сведения о характере любых родственных связей с иными лицами, входящими в состав органов 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управления эмитента и/или органов </w:t>
      </w: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контроля за</w:t>
      </w:r>
      <w:proofErr w:type="gramEnd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финансово-хозяйственной деятельностью эмитента: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Указанных родственных связей нет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Сведений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Лицо к указанным видам ответственности не привлекалось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Сведений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Лицо указанных должностей не занимало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</w:t>
      </w: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апалашов</w:t>
      </w:r>
      <w:proofErr w:type="spell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</w:t>
      </w:r>
      <w:proofErr w:type="spell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Абдулвагаб</w:t>
      </w:r>
      <w:proofErr w:type="spell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</w:t>
      </w:r>
      <w:proofErr w:type="spell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Яхьяевич</w:t>
      </w:r>
      <w:proofErr w:type="spellEnd"/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 рождения: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1947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Образование: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высшее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  <w:proofErr w:type="gramEnd"/>
    </w:p>
    <w:tbl>
      <w:tblPr>
        <w:tblW w:w="9255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33"/>
        <w:gridCol w:w="1260"/>
        <w:gridCol w:w="3981"/>
        <w:gridCol w:w="2681"/>
      </w:tblGrid>
      <w:tr w:rsidR="00BA17D2" w:rsidRPr="00BA17D2" w:rsidTr="00BA17D2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</w:tr>
      <w:tr w:rsidR="00BA17D2" w:rsidRPr="00BA17D2" w:rsidTr="00BA17D2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17D2" w:rsidRPr="00BA17D2" w:rsidTr="00BA17D2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</w:t>
            </w:r>
            <w:proofErr w:type="gram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ремя</w:t>
            </w:r>
            <w:proofErr w:type="spellEnd"/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"Завод им. Гаджиева"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директор</w:t>
            </w:r>
          </w:p>
        </w:tc>
      </w:tr>
    </w:tbl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Доля участия лица в уставном капитале эмитента, %: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4.16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Доля принадлежащих лицу обыкновенных акций эмитента, %: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4.16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Доли участия лица в уставном (складочном) капитале (паевом фонде) дочерних и зависимых обществ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Лицо указанных долей не имеет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Сведения о характере любых родственных связей с иными лицами, входящими в состав органов управления эмитента и/или органов </w:t>
      </w: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контроля за</w:t>
      </w:r>
      <w:proofErr w:type="gramEnd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финансово-хозяйственной деятельностью эмитента: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Указанных родственных связей нет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Сведений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Лицо к указанным видам ответственности не привлекалось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Сведений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Лицо указанных должностей не занимало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Омаров </w:t>
      </w:r>
      <w:proofErr w:type="spell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Махач</w:t>
      </w:r>
      <w:proofErr w:type="spell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</w:t>
      </w:r>
      <w:proofErr w:type="spell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Гасангусейнович</w:t>
      </w:r>
      <w:proofErr w:type="spellEnd"/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 рождения: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1951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Образование: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высшее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  <w:proofErr w:type="gramEnd"/>
    </w:p>
    <w:tbl>
      <w:tblPr>
        <w:tblW w:w="9255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33"/>
        <w:gridCol w:w="1260"/>
        <w:gridCol w:w="3981"/>
        <w:gridCol w:w="2681"/>
      </w:tblGrid>
      <w:tr w:rsidR="00BA17D2" w:rsidRPr="00BA17D2" w:rsidTr="00BA17D2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</w:tr>
      <w:tr w:rsidR="00BA17D2" w:rsidRPr="00BA17D2" w:rsidTr="00BA17D2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17D2" w:rsidRPr="00BA17D2" w:rsidTr="00BA17D2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"Завод им. Гаджиева"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по экономике</w:t>
            </w:r>
          </w:p>
        </w:tc>
      </w:tr>
      <w:tr w:rsidR="00BA17D2" w:rsidRPr="00BA17D2" w:rsidTr="00BA17D2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</w:t>
            </w:r>
            <w:proofErr w:type="gram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ремя</w:t>
            </w:r>
            <w:proofErr w:type="spellEnd"/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"Аксиома"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</w:tr>
    </w:tbl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Доля участия лица в уставном капитале эмитента, %: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0.046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Доля принадлежащих лицу обыкновенных акций эмитента, %: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0.046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Доли участия лица в уставном (складочном) капитале (паевом фонде) дочерних и зависимых обществ эмитента 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Лицо указанных долей не имеет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Сведения о характере любых родственных связей с иными лицами, входящими в состав органов управления эмитента и/или органов </w:t>
      </w: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контроля за</w:t>
      </w:r>
      <w:proofErr w:type="gramEnd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финансово-хозяйственной деятельностью эмитента: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Указанных родственных связей нет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Сведений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Лицо к указанным видам ответственности не привлекалось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Сведений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 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Лицо указанных должностей не занимало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Матвеенко Евгений Владимирович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 рождения: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1959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Образование: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высшее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  <w:proofErr w:type="gramEnd"/>
    </w:p>
    <w:tbl>
      <w:tblPr>
        <w:tblW w:w="9255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33"/>
        <w:gridCol w:w="1260"/>
        <w:gridCol w:w="3981"/>
        <w:gridCol w:w="2681"/>
      </w:tblGrid>
      <w:tr w:rsidR="00BA17D2" w:rsidRPr="00BA17D2" w:rsidTr="00BA17D2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</w:tr>
      <w:tr w:rsidR="00BA17D2" w:rsidRPr="00BA17D2" w:rsidTr="00BA17D2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17D2" w:rsidRPr="00BA17D2" w:rsidTr="00BA17D2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</w:t>
            </w:r>
            <w:proofErr w:type="gram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ремя</w:t>
            </w:r>
            <w:proofErr w:type="spellEnd"/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"Завод им. Гаджиева"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ПДО</w:t>
            </w:r>
          </w:p>
        </w:tc>
      </w:tr>
    </w:tbl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Доля участия лица в уставном капитале эмитента, %: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0.04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Доля принадлежащих лицу обыкновенных акций эмитента, %: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0.04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Доли участия лица в уставном (складочном) капитале (паевом фонде) дочерних и зависимых обществ эмитента  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Лицо указанных долей не имеет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Сведения о характере любых родственных связей с иными лицами, входящими в состав органов управления эмитента и/или органов </w:t>
      </w: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контроля за</w:t>
      </w:r>
      <w:proofErr w:type="gramEnd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финансово-хозяйственной деятельностью эмитента: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Указанных родственных связей нет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Сведений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Лицо к указанным видам ответственности не привлекалось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Сведений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Лицо указанных должностей не занимало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Исмаилов Магомед </w:t>
      </w:r>
      <w:proofErr w:type="spell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Абакарович</w:t>
      </w:r>
      <w:proofErr w:type="spellEnd"/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 рождения: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1955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Образование: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высшее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  <w:proofErr w:type="gramEnd"/>
    </w:p>
    <w:tbl>
      <w:tblPr>
        <w:tblW w:w="9255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33"/>
        <w:gridCol w:w="1260"/>
        <w:gridCol w:w="3981"/>
        <w:gridCol w:w="2681"/>
      </w:tblGrid>
      <w:tr w:rsidR="00BA17D2" w:rsidRPr="00BA17D2" w:rsidTr="00BA17D2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</w:tr>
      <w:tr w:rsidR="00BA17D2" w:rsidRPr="00BA17D2" w:rsidTr="00BA17D2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17D2" w:rsidRPr="00BA17D2" w:rsidTr="00BA17D2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</w:t>
            </w:r>
            <w:proofErr w:type="gram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ремя</w:t>
            </w:r>
            <w:proofErr w:type="spellEnd"/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"Завод им. Гаджиева"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технолог</w:t>
            </w:r>
          </w:p>
        </w:tc>
      </w:tr>
    </w:tbl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Доли участия в уставном капитале эмитента/обыкновенных акций не имеет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Доли участия лица в уставном (складочном) капитале (паевом фонде) дочерних и зависимых обществ эмитента  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Лицо указанных долей не имеет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Сведения о характере любых родственных связей с иными лицами, входящими в состав органов управления эмитента и/или органов </w:t>
      </w: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контроля за</w:t>
      </w:r>
      <w:proofErr w:type="gramEnd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финансово-хозяйственной деятельностью эмитента: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Указанных родственных связей нет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Сведений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Лицо к указанным видам ответственности не привлекалось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Сведений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 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Лицо указанных должностей не занимало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Лицо указанных должностей не занимало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Бабаев </w:t>
      </w:r>
      <w:proofErr w:type="spell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Нурбек</w:t>
      </w:r>
      <w:proofErr w:type="spell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</w:t>
      </w:r>
      <w:proofErr w:type="spell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Абдурашидович</w:t>
      </w:r>
      <w:proofErr w:type="spellEnd"/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(председатель)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 рождения: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1949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Образование: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высшее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  <w:proofErr w:type="gramEnd"/>
    </w:p>
    <w:tbl>
      <w:tblPr>
        <w:tblW w:w="9255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33"/>
        <w:gridCol w:w="1260"/>
        <w:gridCol w:w="3981"/>
        <w:gridCol w:w="2681"/>
      </w:tblGrid>
      <w:tr w:rsidR="00BA17D2" w:rsidRPr="00BA17D2" w:rsidTr="00BA17D2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</w:tr>
      <w:tr w:rsidR="00BA17D2" w:rsidRPr="00BA17D2" w:rsidTr="00BA17D2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17D2" w:rsidRPr="00BA17D2" w:rsidTr="00BA17D2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</w:t>
            </w:r>
            <w:proofErr w:type="gram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ремя</w:t>
            </w:r>
            <w:proofErr w:type="spellEnd"/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"Завод им. Гаджиева"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генерального директора по качеству</w:t>
            </w:r>
          </w:p>
        </w:tc>
      </w:tr>
    </w:tbl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Доли участия в уставном капитале эмитента/обыкновенных акций не имеет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Доли участия лица в уставном (складочном) капитале (паевом фонде) дочерних и зависимых обществ эмитента 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Лицо указанных долей не имеет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Сведения о характере любых родственных связей с иными лицами, входящими в состав органов управления эмитента и/или органов </w:t>
      </w: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контроля за</w:t>
      </w:r>
      <w:proofErr w:type="gramEnd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финансово-хозяйственной деятельностью эмитента: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Указанных родственных связей нет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Сведений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Лицо к указанным видам ответственности не привлекалось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Сведений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 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Лицо указанных должностей не занимало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Шипилова Елена Федоровна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 рождения: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1953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Образование: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высшее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  <w:proofErr w:type="gramEnd"/>
    </w:p>
    <w:tbl>
      <w:tblPr>
        <w:tblW w:w="9255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33"/>
        <w:gridCol w:w="1260"/>
        <w:gridCol w:w="3981"/>
        <w:gridCol w:w="2681"/>
      </w:tblGrid>
      <w:tr w:rsidR="00BA17D2" w:rsidRPr="00BA17D2" w:rsidTr="00BA17D2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</w:tr>
      <w:tr w:rsidR="00BA17D2" w:rsidRPr="00BA17D2" w:rsidTr="00BA17D2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17D2" w:rsidRPr="00BA17D2" w:rsidTr="00BA17D2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</w:t>
            </w:r>
            <w:proofErr w:type="gram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ремя</w:t>
            </w:r>
            <w:proofErr w:type="spellEnd"/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"Завод им. Гаджиева"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финансового отдела</w:t>
            </w:r>
          </w:p>
        </w:tc>
      </w:tr>
    </w:tbl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Доля участия лица в уставном капитале эмитента, %: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0.12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Доля принадлежащих лицу обыкновенных акций эмитента, %: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0.12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Доли участия лица в уставном (складочном) капитале (паевом фонде) дочерних и зависимых обществ эмитента 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Лицо указанных долей не имеет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Сведения о характере любых родственных связей с иными лицами, входящими в состав органов управления эмитента и/или органов </w:t>
      </w: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контроля за</w:t>
      </w:r>
      <w:proofErr w:type="gramEnd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финансово-хозяйственной деятельностью эмитента: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Указанных родственных связей нет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Сведений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Лицо к указанным видам ответственности не привлекалось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Сведений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(банкротстве): 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Лицо указанных должностей не занимало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</w:t>
      </w: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BA17D2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М</w:t>
      </w:r>
      <w:proofErr w:type="gramEnd"/>
      <w:r w:rsidRPr="00BA17D2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ирзаев</w:t>
      </w:r>
      <w:proofErr w:type="spellEnd"/>
      <w:r w:rsidRPr="00BA17D2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Магомед </w:t>
      </w:r>
      <w:proofErr w:type="spellStart"/>
      <w:r w:rsidRPr="00BA17D2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Насрулаевич</w:t>
      </w:r>
      <w:proofErr w:type="spellEnd"/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 рождения: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1966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Образование: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высшее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  <w:proofErr w:type="gramEnd"/>
    </w:p>
    <w:tbl>
      <w:tblPr>
        <w:tblW w:w="9255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33"/>
        <w:gridCol w:w="1260"/>
        <w:gridCol w:w="3981"/>
        <w:gridCol w:w="2681"/>
      </w:tblGrid>
      <w:tr w:rsidR="00BA17D2" w:rsidRPr="00BA17D2" w:rsidTr="00BA17D2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</w:tr>
      <w:tr w:rsidR="00BA17D2" w:rsidRPr="00BA17D2" w:rsidTr="00BA17D2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17D2" w:rsidRPr="00BA17D2" w:rsidTr="00BA17D2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</w:t>
            </w:r>
            <w:proofErr w:type="gram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ремя</w:t>
            </w:r>
            <w:proofErr w:type="spellEnd"/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"Завод им. Гаджиева"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энергетик</w:t>
            </w:r>
          </w:p>
        </w:tc>
      </w:tr>
    </w:tbl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Доля участия лица в уставном капитале эмитента, %: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0,06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Доля принадлежащих лицу обыкновенных акций эмитента, %: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0,06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Доли участия лица в уставном (складочном) капитале (паевом фонде) дочерних и зависимых обществ эмитента 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Лицо указанных долей не имеет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Сведения о характере любых родственных связей с иными лицами, входящими в состав органов управления эмитента и/или органов </w:t>
      </w: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контроля за</w:t>
      </w:r>
      <w:proofErr w:type="gramEnd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финансово-хозяйственной деятельностью эмитента: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Указанных родственных связей нет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Сведений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Лицо к указанным видам ответственности не привлекалось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Сведений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Лицо указанных должностей не занимало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</w:t>
      </w: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С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ултанматов</w:t>
      </w:r>
      <w:proofErr w:type="spell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</w:t>
      </w:r>
      <w:proofErr w:type="spell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Султансаид</w:t>
      </w:r>
      <w:proofErr w:type="spell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</w:t>
      </w:r>
      <w:proofErr w:type="spell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Идзиевич</w:t>
      </w:r>
      <w:proofErr w:type="spellEnd"/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 рождения: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1957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Образование: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высшее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  <w:proofErr w:type="gramEnd"/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255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33"/>
        <w:gridCol w:w="1260"/>
        <w:gridCol w:w="3981"/>
        <w:gridCol w:w="2681"/>
      </w:tblGrid>
      <w:tr w:rsidR="00BA17D2" w:rsidRPr="00BA17D2" w:rsidTr="00BA17D2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</w:tr>
      <w:tr w:rsidR="00BA17D2" w:rsidRPr="00BA17D2" w:rsidTr="00BA17D2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17D2" w:rsidRPr="00BA17D2" w:rsidTr="00BA17D2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</w:t>
            </w:r>
            <w:proofErr w:type="gram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ремя</w:t>
            </w:r>
            <w:proofErr w:type="spellEnd"/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"Завод им. Гаджиева"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Технический директор, начальник цеха18</w:t>
            </w:r>
          </w:p>
        </w:tc>
      </w:tr>
    </w:tbl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Доля участия лица в уставном капитале эмитента, %: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0.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Доля принадлежащих лицу обыкновенных акций эмитента, %: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0.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Доли участия лица в уставном (складочном) капитале (паевом фонде) дочерних и зависимых обществ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Лицо указанных долей не имеет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Сведения о характере любых родственных связей с иными лицами, входящими в состав органов управления эмитента и/или органов </w:t>
      </w: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контроля за</w:t>
      </w:r>
      <w:proofErr w:type="gramEnd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финансово-хозяйственной деятельностью эмитента: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Указанных родственных связей нет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Сведений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Лицо к указанным видам ответственности не привлекалось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Сведений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Лицо указанных должностей не занимало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5.2.2. Информация о единоличном исполнительном органе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</w:t>
      </w: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апалашов</w:t>
      </w:r>
      <w:proofErr w:type="spell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</w:t>
      </w:r>
      <w:proofErr w:type="spell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Абдулвагаб</w:t>
      </w:r>
      <w:proofErr w:type="spell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</w:t>
      </w:r>
      <w:proofErr w:type="spell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Яхьяевич</w:t>
      </w:r>
      <w:proofErr w:type="spellEnd"/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 рождения: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1947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Образование: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высшее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  <w:proofErr w:type="gramEnd"/>
    </w:p>
    <w:tbl>
      <w:tblPr>
        <w:tblW w:w="9255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33"/>
        <w:gridCol w:w="1260"/>
        <w:gridCol w:w="3981"/>
        <w:gridCol w:w="2681"/>
      </w:tblGrid>
      <w:tr w:rsidR="00BA17D2" w:rsidRPr="00BA17D2" w:rsidTr="00BA17D2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</w:tr>
      <w:tr w:rsidR="00BA17D2" w:rsidRPr="00BA17D2" w:rsidTr="00BA17D2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17D2" w:rsidRPr="00BA17D2" w:rsidTr="00BA17D2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</w:t>
            </w:r>
            <w:proofErr w:type="gram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ремя</w:t>
            </w:r>
            <w:proofErr w:type="spellEnd"/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"Завод им. Гаджиева"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директор</w:t>
            </w:r>
          </w:p>
        </w:tc>
      </w:tr>
    </w:tbl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Доля участия лица в уставном капитале эмитента, %: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4.07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Доля принадлежащих лицу обыкновенных акций эмитента, %: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4.07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Доли участия лица в уставном (складочном) капитале (паевом фонде) дочерних и зависимых обществ эмитента 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Лицо указанных долей не имеет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Сведения о характере любых родственных связей с иными лицами, входящими в состав органов управления эмитента и/или органов </w:t>
      </w: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контроля за</w:t>
      </w:r>
      <w:proofErr w:type="gramEnd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финансово-хозяйственной деятельностью эмитента: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Указанных родственных связей нет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Сведений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Лицо к указанным видам ответственности не привлекалось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Сведений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Лицо указанных должностей не занимало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5.2.3. Состав коллегиального исполнительного органа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5.3. Сведения о размере вознаграждения, льгот и/или компенсации расходов по каждому органу управления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размере вознаграждения по каждому из органов управления (за исключением физического лица, осуществляющего функции единоличного исполнительного органа управления эмитента). Указываются все виды вознаграждения, в том числе заработная плата, премии, комиссионные, льготы и (или) компенсации расходов, а также иные имущественные представления: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C</w:t>
      </w:r>
      <w:proofErr w:type="gramEnd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ведения</w:t>
      </w:r>
      <w:proofErr w:type="spellEnd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существующих соглашениях относительно таких выплат в текущем финансовом году: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Вознаграждение и компенсация расходов членам Совета директоров Общества, связанные с исполнением ими функций Совета директоров Общества, по результатам 2023г. не выплачивались.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Коллегиальный исполнительный орган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C</w:t>
      </w:r>
      <w:proofErr w:type="gramEnd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ведения</w:t>
      </w:r>
      <w:proofErr w:type="spellEnd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существующих соглашениях относительно таких выплат в текущем финансовом году: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Вознаграждение и компенсация расходов членам коллегиального исполнительного органа, </w:t>
      </w:r>
      <w:proofErr w:type="gram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связанные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с исполнением ими функций коллегиального исполнительного органа, по результатам 2023г. не выплачивались.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 xml:space="preserve">5.4. Сведения о структуре и компетенции органов </w:t>
      </w:r>
      <w:proofErr w:type="gramStart"/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контроля за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 xml:space="preserve"> финансово-хозяйственной деятельностью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Приводится полное описание структуры органов контроля за финансово-хозяйственной деятельностью эмитента и их компетенции в соответствии с уставом (учредительными документами) и внутренними документами эмитента</w:t>
      </w: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.: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gram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Для осуществления проверки и контроля за финансово-хозяйственной деятельностью Общества 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Общим собранием акционеров избирается Ревизионная комиссия Общества и утверждается Аудитор общества. Ревизионная комиссия Общества состоит из 5 человек и избирается сроком на 1 год.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  Проверка финансово-хозяйственной деятельности Общества осуществляется по итогам деятельности Общества за год, а также во всякое время по инициативе Ревизионной комиссии, решению общего собрания акционеров, Совета директоров или по требованию акционеров, владеющих в совокупности не менее</w:t>
      </w:r>
      <w:proofErr w:type="gram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,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чем 10 процентами голосующих акций Общества.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  Член ревизионной комиссии не может одновременно являться членом Совета директоров или занимать иные должности в органах управления Общества.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  Акции, принадлежащие членам Совета директоров или лицам, занимающим должности в органах управления Общества, не могут участвовать в голосовании при избрании членов Ревизионной комиссии.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  Аудитор осуществляет проверку финансово-хозяйственной деятельности Общества в соответствии с правовыми актами РФ на основании заключенного с ним договора. Размер оплаты его услуг определяется Советом директоров.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  По итогам проверки финансово-хозяйственной деятельности Общества Ревизионная комиссия или Аудитор составляет заключение, в котором должны содержаться: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- подтверждение достоверности данных, содержащихся в отчётах или иных финансовых документах Общества;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- информация о фактах нарушения установленных правовыми актами РФ порядка ведения бухгалтерского учёта и представления финансовой отчётности.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 xml:space="preserve">5.5. Информация о лицах, входящих в состав органов </w:t>
      </w:r>
      <w:proofErr w:type="gramStart"/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контроля  за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 xml:space="preserve"> финансово-хозяйственной деятельностью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органа </w:t>
      </w: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контроля за</w:t>
      </w:r>
      <w:proofErr w:type="gramEnd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финансово-хозяйственной деятельностью эмитента: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Ревизионная комиссия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Гаджиев Гаджи Магомедович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 рождения: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1955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Образование: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высшее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  <w:proofErr w:type="gramEnd"/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255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33"/>
        <w:gridCol w:w="1260"/>
        <w:gridCol w:w="3981"/>
        <w:gridCol w:w="2681"/>
      </w:tblGrid>
      <w:tr w:rsidR="00BA17D2" w:rsidRPr="00BA17D2" w:rsidTr="00BA17D2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</w:tr>
      <w:tr w:rsidR="00BA17D2" w:rsidRPr="00BA17D2" w:rsidTr="00BA17D2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17D2" w:rsidRPr="00BA17D2" w:rsidTr="00BA17D2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</w:t>
            </w:r>
            <w:proofErr w:type="gram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ремя</w:t>
            </w:r>
            <w:proofErr w:type="spellEnd"/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"Завод им. Гаджиева"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труда и зарплаты</w:t>
            </w:r>
          </w:p>
        </w:tc>
      </w:tr>
    </w:tbl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Доля участия лица в уставном капитале эмитента, %: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3.1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Доля принадлежащих лицу обыкновенных акций эмитента, %: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3.1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Доли участия лица в уставном (складочном) капитале (паевом фонде) дочерних и зависимых обществ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Лицо указанных долей не имеет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Сведения о характере любых родственных связей с иными лицами, входящими в состав органов управления эмитента и/или органов </w:t>
      </w: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контроля за</w:t>
      </w:r>
      <w:proofErr w:type="gramEnd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финансово-хозяйственной деятельностью эмитента: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Указанных родственных связей нет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Сведений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Лицо к указанным видам ответственности не привлекалось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Сведений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Лицо указанных должностей не занимало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ФИО: </w:t>
      </w:r>
      <w:proofErr w:type="spell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Пучкова</w:t>
      </w:r>
      <w:proofErr w:type="spell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Татьяна Магомедовна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 рождения: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1958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Образование: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gram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средне-техническое</w:t>
      </w:r>
      <w:proofErr w:type="gramEnd"/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  <w:proofErr w:type="gramEnd"/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32"/>
        <w:gridCol w:w="1260"/>
        <w:gridCol w:w="3980"/>
        <w:gridCol w:w="2680"/>
      </w:tblGrid>
      <w:tr w:rsidR="00BA17D2" w:rsidRPr="00BA17D2" w:rsidTr="00BA17D2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</w:tr>
      <w:tr w:rsidR="00BA17D2" w:rsidRPr="00BA17D2" w:rsidTr="00BA17D2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17D2" w:rsidRPr="00BA17D2" w:rsidTr="00BA17D2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</w:t>
            </w:r>
            <w:proofErr w:type="gram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ремя</w:t>
            </w:r>
            <w:proofErr w:type="spellEnd"/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"Завод им. Гаджиева"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экономист ПЭО</w:t>
            </w:r>
          </w:p>
        </w:tc>
      </w:tr>
    </w:tbl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Доля участия лица в уставном капитале эмитента, %: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0.008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Доля принадлежащих лицу обыкновенных акций эмитента, %: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0.008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Доли участия лица в уставном (складочном) капитале (паевом фонде) дочерних и зависимых обществ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Лицо указанных долей не имеет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Сведения о характере любых родственных связей с иными лицами, входящими в состав органов управления эмитента и/или органов </w:t>
      </w: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контроля за</w:t>
      </w:r>
      <w:proofErr w:type="gramEnd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финансово-хозяйственной деятельностью эмитента: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Указанных родственных связей нет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Сведений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Лицо к указанным видам ответственности не привлекалось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Сведений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Лицо указанных должностей не занимало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Алиева </w:t>
      </w:r>
      <w:proofErr w:type="spell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Патимат</w:t>
      </w:r>
      <w:proofErr w:type="spell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</w:t>
      </w:r>
      <w:proofErr w:type="spell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Омаровна</w:t>
      </w:r>
      <w:proofErr w:type="spellEnd"/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 рождения: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1973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Образование: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высшее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  <w:proofErr w:type="gramEnd"/>
    </w:p>
    <w:tbl>
      <w:tblPr>
        <w:tblW w:w="9255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33"/>
        <w:gridCol w:w="1260"/>
        <w:gridCol w:w="3981"/>
        <w:gridCol w:w="2681"/>
      </w:tblGrid>
      <w:tr w:rsidR="00BA17D2" w:rsidRPr="00BA17D2" w:rsidTr="00BA17D2">
        <w:tc>
          <w:tcPr>
            <w:tcW w:w="2593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398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268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</w:tr>
      <w:tr w:rsidR="00BA17D2" w:rsidRPr="00BA17D2" w:rsidTr="00BA17D2">
        <w:tc>
          <w:tcPr>
            <w:tcW w:w="133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3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17D2" w:rsidRPr="00BA17D2" w:rsidTr="00BA17D2">
        <w:tc>
          <w:tcPr>
            <w:tcW w:w="133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"Завод им. Гаджиева"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бюро бухгалтерии</w:t>
            </w:r>
          </w:p>
        </w:tc>
      </w:tr>
      <w:tr w:rsidR="00BA17D2" w:rsidRPr="00BA17D2" w:rsidTr="00BA17D2">
        <w:tc>
          <w:tcPr>
            <w:tcW w:w="133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</w:t>
            </w:r>
            <w:proofErr w:type="gram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ремя</w:t>
            </w:r>
            <w:proofErr w:type="spellEnd"/>
          </w:p>
        </w:tc>
        <w:tc>
          <w:tcPr>
            <w:tcW w:w="3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"Завод им. Гаджиева"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зам. начальника  </w:t>
            </w:r>
            <w:proofErr w:type="spell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ОМиС</w:t>
            </w:r>
            <w:proofErr w:type="spellEnd"/>
          </w:p>
        </w:tc>
      </w:tr>
    </w:tbl>
    <w:p w:rsidR="00BA17D2" w:rsidRPr="00BA17D2" w:rsidRDefault="00BA17D2" w:rsidP="00BA17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Доли участия в уставном капитале эмитента/обыкновенных акций не имеет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Доли участия лица в уставном (складочном) капитале (паевом фонде) дочерних и зависимых обществ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Лицо указанных долей не имеет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Сведения о характере любых родственных связей с иными лицами, входящими в состав органов управления эмитента и/или органов </w:t>
      </w: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контроля за</w:t>
      </w:r>
      <w:proofErr w:type="gramEnd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финансово-хозяйственной деятельностью эмитента: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Указанных родственных связей нет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Сведений о привлечении такого лица к административной ответственности за правонарушения в области 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Лицо к указанным видам ответственности не привлекалось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Сведений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Лицо указанных должностей не занимало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</w:t>
      </w: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А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либекова</w:t>
      </w:r>
      <w:proofErr w:type="spell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</w:t>
      </w:r>
      <w:proofErr w:type="spell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Субаржат</w:t>
      </w:r>
      <w:proofErr w:type="spell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</w:t>
      </w:r>
      <w:proofErr w:type="spell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Хизриевна</w:t>
      </w:r>
      <w:proofErr w:type="spellEnd"/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 рождения: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1962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Образование: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высшее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  <w:proofErr w:type="gramEnd"/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32"/>
        <w:gridCol w:w="1260"/>
        <w:gridCol w:w="3980"/>
        <w:gridCol w:w="2680"/>
      </w:tblGrid>
      <w:tr w:rsidR="00BA17D2" w:rsidRPr="00BA17D2" w:rsidTr="00BA17D2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</w:tr>
      <w:tr w:rsidR="00BA17D2" w:rsidRPr="00BA17D2" w:rsidTr="00BA17D2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17D2" w:rsidRPr="00BA17D2" w:rsidTr="00BA17D2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</w:t>
            </w:r>
            <w:proofErr w:type="gram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ремя</w:t>
            </w:r>
            <w:proofErr w:type="spellEnd"/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"Завод им. Гаджиева"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Начальника ОМТС</w:t>
            </w:r>
          </w:p>
        </w:tc>
      </w:tr>
    </w:tbl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Доля участия лица в уставном капитале эмитента, %: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0.004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Доля принадлежащих лицу обыкновенных акций эмитента, %: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0.004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Доли участия лица в уставном (складочном) капитале (паевом фонде) дочерних и зависимых обществ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Лицо указанных долей не имеет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Сведения о характере любых родственных связей с иными лицами, входящими в состав органов управления эмитента и/или органов </w:t>
      </w: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контроля за</w:t>
      </w:r>
      <w:proofErr w:type="gramEnd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финансово-хозяйственной деятельностью эмитента: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Указанных родственных связей нет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Сведений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Лицо к указанным видам ответственности не привлекалось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Сведений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Лицо указанных должностей не занимало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</w:t>
      </w: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К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адиева</w:t>
      </w:r>
      <w:proofErr w:type="spell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</w:t>
      </w:r>
      <w:proofErr w:type="spell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Хава</w:t>
      </w:r>
      <w:proofErr w:type="spell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Магомедовна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 рождения: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1963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Образование: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высшее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  <w:proofErr w:type="gramEnd"/>
    </w:p>
    <w:tbl>
      <w:tblPr>
        <w:tblW w:w="9255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33"/>
        <w:gridCol w:w="1260"/>
        <w:gridCol w:w="3981"/>
        <w:gridCol w:w="2681"/>
      </w:tblGrid>
      <w:tr w:rsidR="00BA17D2" w:rsidRPr="00BA17D2" w:rsidTr="00BA17D2">
        <w:tc>
          <w:tcPr>
            <w:tcW w:w="2593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398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268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</w:tr>
      <w:tr w:rsidR="00BA17D2" w:rsidRPr="00BA17D2" w:rsidTr="00BA17D2">
        <w:tc>
          <w:tcPr>
            <w:tcW w:w="133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3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17D2" w:rsidRPr="00BA17D2" w:rsidTr="00BA17D2">
        <w:tc>
          <w:tcPr>
            <w:tcW w:w="133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</w:t>
            </w:r>
            <w:proofErr w:type="gramStart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ремя</w:t>
            </w:r>
            <w:proofErr w:type="spellEnd"/>
          </w:p>
        </w:tc>
        <w:tc>
          <w:tcPr>
            <w:tcW w:w="3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"Завод им. Гаджиева"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главного бухгалтера</w:t>
            </w:r>
          </w:p>
        </w:tc>
      </w:tr>
    </w:tbl>
    <w:p w:rsidR="00BA17D2" w:rsidRPr="00BA17D2" w:rsidRDefault="00BA17D2" w:rsidP="00BA17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Доли участия в уставном капитале эмитента/обыкновенных акций не имеет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Доли участия лица в уставном (складочном) капитале (паевом фонде) дочерних и зависимых обществ 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Лицо указанных долей не имеет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Сведения о характере любых родственных связей с иными лицами, входящими в состав органов управления эмитента и/или органов </w:t>
      </w: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контроля за</w:t>
      </w:r>
      <w:proofErr w:type="gramEnd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финансово-хозяйственной деятельностью эмитента: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Указанных родственных связей нет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Сведений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Лицо к указанным видам ответственности не привлекалось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Сведений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Лицо указанных должностей не занимало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органа </w:t>
      </w: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контроля за</w:t>
      </w:r>
      <w:proofErr w:type="gramEnd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финансово-хозяйственной деятельностью эмитента: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наличия у эмитента службы внутреннего аудита или иного органа контроля за его финансово-хозяйственной деятельностью, отличного от ревизионной комиссии эмитента, в состав которого входят более 10 лиц, информация, предусмотренная настоящим пунктом, указывается по не менее чем 10 лицам, являющимися членами соответствующего органа эмитента по контролю за его финансово-хозяйственной деятельностью, включая руководителя такого органа.</w:t>
      </w:r>
      <w:proofErr w:type="gramEnd"/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 xml:space="preserve">5.6. Сведения о размере вознаграждения, льгот и/или компенсации расходов по органу </w:t>
      </w:r>
      <w:proofErr w:type="gramStart"/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контроля за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 xml:space="preserve"> финансово-хозяйственной деятельностью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Сведения о размере вознаграждения по каждому из органов </w:t>
      </w: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контроля за</w:t>
      </w:r>
      <w:proofErr w:type="gramEnd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финансово-хозяйственной деятельностью. Указываются все виды вознаграждения, в том числе заработная плата, премии, комиссионные, льготы и (или) компенсации расходов, а также иные имущественные представления, которые были выплачены эмитентом за последний завершенный календарный год, предшествующий первому кварталу, и за первый квартал: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Единица измерения: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тыс. руб.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органа </w:t>
      </w: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контроля за</w:t>
      </w:r>
      <w:proofErr w:type="gramEnd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финансово-хозяйственной деятельностью эмитента: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Вознаграждение за участие в работе органа контроля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C</w:t>
      </w:r>
      <w:proofErr w:type="gramEnd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ведения</w:t>
      </w:r>
      <w:proofErr w:type="spellEnd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существующих соглашениях относительно таких выплат в текущем финансовом году: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органа </w:t>
      </w: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контроля за</w:t>
      </w:r>
      <w:proofErr w:type="gramEnd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финансово-хозяйственной деятельностью эмитента: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Ревизионная комиссия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Вознаграждение за участие в работе органа контроля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Дополнительная информация: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Вознаграждение и компенсация расходов членам Ревизионной комиссии Общества</w:t>
      </w:r>
      <w:proofErr w:type="gram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,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по результатам 2015 года не выплачивались.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5.7. Данные о численности и обобщенные данные о составе сотрудников (работников) эмитента, а также об изменении численности сотрудников (работников)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Единица измерения: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тыс. руб.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6492"/>
        <w:gridCol w:w="1360"/>
        <w:gridCol w:w="1400"/>
      </w:tblGrid>
      <w:tr w:rsidR="00BA17D2" w:rsidRPr="00BA17D2" w:rsidTr="00BA17D2">
        <w:tc>
          <w:tcPr>
            <w:tcW w:w="649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4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2016, 3 мес.</w:t>
            </w:r>
          </w:p>
        </w:tc>
      </w:tr>
      <w:tr w:rsidR="00BA17D2" w:rsidRPr="00BA17D2" w:rsidTr="00BA17D2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численность работников, чел.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</w:t>
            </w:r>
          </w:p>
        </w:tc>
      </w:tr>
      <w:tr w:rsidR="00BA17D2" w:rsidRPr="00BA17D2" w:rsidTr="00BA17D2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начисленной заработной платы работников за отчетный период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123840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35931</w:t>
            </w:r>
          </w:p>
        </w:tc>
      </w:tr>
      <w:tr w:rsidR="00BA17D2" w:rsidRPr="00BA17D2" w:rsidTr="00BA17D2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Выплаты социального характера работников за отчетный период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</w:tr>
    </w:tbl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5.8. Сведения о любых обязательствах эмитента перед сотрудниками (работниками), касающихся возможности их участия в уставном (складочном) капитале (паевом фонде)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Эмитент не имеет обязательств перед сотрудниками (работниками), касающихся возможности их участия в уставном (складочном) капитале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36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Сведения об участниках (акционерах) эмитента и о совершенных эмитентом сделках, в совершении которых имелась заинтересованность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6.1. Сведения об общем количестве акционеров (участников)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Общее количество лиц с ненулевыми остатками на лицевых счетах, зарегистрированных в реестре акционеров эмитента на дату окончания отчетного квартала: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1 322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Общее количество номинальных держателей акций эмитента: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1 322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Общее количество лиц, включенных в составленный последним список лиц, имевших (имеющих) право на участие в общем собрании акционеров эмитента (иной список лиц, составленный в целях осуществления (реализации) прав по акциям эмитента и для составления которого номинальные держатели акций эмитента представляли данные о лицах, в интересах которых они владели (владеют) акциями эмитента):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1 322</w:t>
      </w:r>
      <w:proofErr w:type="gramEnd"/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составления списка лиц, включенных в составленный последним список лиц, имевших (имеющих) право на участие в общем собрании акционеров эмитента: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04.05.2025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Владельцы обыкновенных акций эмитента, которые подлежали включению в такой список: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Владельцы привилегированных акций эмитента, которые подлежали включению в такой список: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 xml:space="preserve">6.2. </w:t>
      </w:r>
      <w:proofErr w:type="gramStart"/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Сведения об участниках (акционерах) эмитента, владеющих не менее чем 5 процентами его уставного (складочного) капитала (паевого фонда) или не менее чем 5 процентами его обыкновенных акций, а также сведения о контролирующих таких участников (акционеров) лицах, а в случае отсутствия таких лиц - об их участниках (акционерах), владеющих не менее чем 20 процентами уставного (складочного) капитала (паевого фонда) или не менее чем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 xml:space="preserve"> 20 процентами их обыкновенных акций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Участники (акционеры) эмитента, владеющие не менее чем 5 процентами его уставного (складочного) капитала (паевого фонда) или не менее чем 5 процентами его обыкновенных акций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Омаров Рустам </w:t>
      </w:r>
      <w:proofErr w:type="spell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Махачевич</w:t>
      </w:r>
      <w:proofErr w:type="spellEnd"/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Доля участия лица в уставном капитале эмитента, %: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8.05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Доля принадлежащих лицу обыкновенных акций эмитента, %: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8.05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Тагирова </w:t>
      </w:r>
      <w:proofErr w:type="spell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Шуанат</w:t>
      </w:r>
      <w:proofErr w:type="spell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</w:t>
      </w:r>
      <w:proofErr w:type="spell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Абдулвагабовна</w:t>
      </w:r>
      <w:proofErr w:type="spellEnd"/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Доля участия лица в уставном капитале эмитента, %: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13.5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Доля принадлежащих лицу обыкновенных акций эмитента, %: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13.5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ФИО: </w:t>
      </w:r>
      <w:proofErr w:type="spell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Папалашова</w:t>
      </w:r>
      <w:proofErr w:type="spell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</w:t>
      </w:r>
      <w:proofErr w:type="spell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Зухра</w:t>
      </w:r>
      <w:proofErr w:type="spell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</w:t>
      </w:r>
      <w:proofErr w:type="spell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Абдулвагабовна</w:t>
      </w:r>
      <w:proofErr w:type="spellEnd"/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Доля участия лица в уставном капитале эмитента, %: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7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Доля принадлежащих лицу обыкновенных акций эмитента, %: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7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ФИО: </w:t>
      </w:r>
      <w:proofErr w:type="spell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Нухова</w:t>
      </w:r>
      <w:proofErr w:type="spell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Фатима </w:t>
      </w:r>
      <w:proofErr w:type="spell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Абдулвагабовна</w:t>
      </w:r>
      <w:proofErr w:type="spellEnd"/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Доля участия лица в уставном капитале эмитента, %: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7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Доля принадлежащих лицу обыкновенных акций эмитента, %: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7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ФИО: </w:t>
      </w:r>
      <w:proofErr w:type="spell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Таимова</w:t>
      </w:r>
      <w:proofErr w:type="spell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</w:t>
      </w:r>
      <w:proofErr w:type="spell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Саният</w:t>
      </w:r>
      <w:proofErr w:type="spell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</w:t>
      </w:r>
      <w:proofErr w:type="spell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Абдулвагабовна</w:t>
      </w:r>
      <w:proofErr w:type="spellEnd"/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Доля участия лица в уставном капитале эмитента, %: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7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Доля принадлежащих лицу обыкновенных акций эмитента, %: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7</w:t>
      </w:r>
    </w:p>
    <w:p w:rsidR="00BA17D2" w:rsidRPr="00BA17D2" w:rsidRDefault="00BA17D2" w:rsidP="00BA17D2">
      <w:pPr>
        <w:rPr>
          <w:rFonts w:ascii="Calibri" w:eastAsia="Times New Roman" w:hAnsi="Calibri" w:cs="Times New Roman"/>
        </w:rPr>
      </w:pP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6.3. Сведения о доле участия государства или муниципального образования в уставном (складочном) капитале (паевом фонде) эмитента, наличии специального права ('золотой акции')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об управляющих государственными, муниципальными пакетами акций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Указанных лиц нет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Лица, которые от имени Российской Федерации, субъекта Российской Федерации или муниципального образования осуществляют функции участника (акционера)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Указанных лиц нет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Наличие специального права на участие Российской Федерации, субъектов Российской Федерации, муниципальных образований в управлении эмитентом - акционерным обществом ('золотой акции'), срок действия специального права ('золотой акции')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Указанное право не предусмотрено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6.4. Сведения об ограничениях на участие в уставном (складочном) капитале (паевом фонде)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Ограничений на участие в уставном (складочном) капитале эмитента нет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6.5. Сведения об изменениях в составе и размере участия акционеров (участников) эмитента, владеющих не менее чем 5 процентами его уставного (складочного) капитала (паевого фонда) или не менее чем 5 процентами его обыкновенных акций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Составы акционеров (участников) эмитента, владевших не менее чем 5 процентами уставного (складочного) капитала эмитента, а для эмитентов, являющихся акционерными обществами, - также не менее 5 процентами обыкновенных акций эмитента, определенные на дату списка лиц, имевших право на участие в каждом общем собрании акционеров (участников) эмитента, проведенном за последний завершенный финансовый год, предшествующий дате окончания отчетного квартала, а также за период с</w:t>
      </w:r>
      <w:proofErr w:type="gramEnd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даты начала текущего года и до даты окончания отчетного квартала по данным списка лиц, имевших право на участие в каждом из таких собраний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составления списка лиц, имеющих право на участие в общем собрании акционеров (участников) эмитента: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04.05.2025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6.6. Сведения о совершенных эмитентом сделках, в совершении которых имелась заинтересованность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Указанных сделок не совершалось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6.7. Сведения о размере дебиторской задолженности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 связи с тем, что ценные бумаги эмитента не включены в список ценных бумаг, допущенных к торгам на организаторе торговли на рынке ценных бумаг, и эмитент не является организацией, предоставившей обеспечение по облигациям другого эмитента, которые включены в список ценных бумаг, допущенных к торгам на организаторе торговли на рынке ценных бумаг, на основании п. 5.9 Положения о раскрытии информации настоящая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информация эмитентом в ежеквартальный отчет не включается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36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36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VII. Бухгалтерска</w:t>
      </w:r>
      <w:proofErr w:type="gramStart"/>
      <w:r w:rsidRPr="00BA1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я(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финансовая) отчетность эмитента и иная финансовая информация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7.1. Годовая бухгалтерска</w:t>
      </w:r>
      <w:proofErr w:type="gramStart"/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я(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финансовая) отчетность эмитента 2024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указывается в данном отчетном квартале</w:t>
      </w:r>
    </w:p>
    <w:p w:rsid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7.2. Квартальная бухгалтерская (финансовая) отчетность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указывается в данном отчетном квартале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7.3. Сводная бухгалтерская (консолидированная финансовая) отчетность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указывается в данном отчетном квартале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7.4. Сведения об учетной политике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В соответствии с ФЗ от 21.01.96г. №129-ФЗ, Положением о бухгалтерском учёте и отчётности в 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РФ, утвержденным приказом Минфина РФ от 29.07.98г. №34Н и Положением по бухгалтерскому учёту "Учётная политика предприятия", утвержденным приказом Минфина РФ от 09.12.98г. №60Н ОАО "Завод им. Гаджиева" приказом №289 от 29.12.06г. приняло следующую учётную политику на предприятии: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1.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Процесс приобретения и заготовления материалов и МБП отражать в учете с применением счета 10 "Материалы" с оценкой стоимости материалов по фактической себестоимости.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2. МБП стоимостью менее 20000 руб., оценивать на счете 10 "Материалы", по мере отпуска в эксплуатацию относить их под </w:t>
      </w:r>
      <w:proofErr w:type="gram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отчёт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МОЛ подразделений завода на </w:t>
      </w:r>
      <w:proofErr w:type="spell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субсчёт</w:t>
      </w:r>
      <w:proofErr w:type="spell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10/9 "Инвентарь и </w:t>
      </w:r>
      <w:proofErr w:type="spell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хозпринадлежности</w:t>
      </w:r>
      <w:proofErr w:type="spell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" до истечения срока эксплуатации и составления актов на списание. Спецодежда учитывается в составе средств в обороте.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3. Амортизацию основных сре</w:t>
      </w:r>
      <w:proofErr w:type="gram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дств в б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ухгалтерском и налоговом учёте начислять линейным способом.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4. Учёт реализации продукции  вести на счёте 90 "Продажи".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5. Нематериальные активы в бухгалтерском и налоговом учёте начислять линейным способом с использованием счёта 05 "Амортизация нематериальных активов".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6. Организация учёта затрат на производство - затраты собирать по дебету 20 "Основное производство", и по дебету 23 "Вспомогательное производство".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7. Затраты общепроизводственного и общехозяйственного назначения собирать на дебете счетов 25 и 26. Незавершенное производство оценивается методом инвентаризации по фактическим производственным затратам.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8. Учёт готовой продукции вести на счёте 43 "Готовая продукция" по фактической себестоимости.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9. Не создавать за счёт финансовых результатов предприятия резерв сомнительных долгов.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10. Расходы будущих периодов списываются в том периоде, в котором были произведены.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11. Периодичность и порядок распределения </w:t>
      </w:r>
      <w:proofErr w:type="spell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дивидентов</w:t>
      </w:r>
      <w:proofErr w:type="spell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определяется собранием акционеров.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12. Распределение чистой прибыли производить по фондам в конце года.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13. В налоговом учёте доходы и расходы учитываются методом начисления.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14. В целях налогообложения установить метод определения выручки от реализации продукции (работ и услуг) - по мере отгрузки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7.5. Сведения об общей сумме экспорта, а также о доле, которую составляет экспорт в общем объеме продаж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 связи с тем, что ценные бумаги эмитента не включены в список ценных бумаг, допущенных к торгам на организаторе торговли на рынке ценных бумаг, и эмитент не является организацией, предоставившей обеспечение по облигациям другого эмитента, которые включены в список ценных бумаг, допущенных к торгам на организаторе торговли на рынке ценных бумаг, на основании п. 5.9 Положения о раскрытии информации настоящая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информация эмитентом в ежеквартальный отчет не включается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7.6. Сведения о существенных изменениях, произошедших в составе имущества эмитента после даты окончания последнего завершенного финансового года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существенных изменениях в составе имущества эмитента, произошедших в течение 12 месяцев до даты окончания отчетного квартала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Существенных изменений в составе имущества эмитента, произошедших в течение 12 месяцев до даты окончания отчетного квартала не было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7.7. Сведения об участии эмитента в судебных процессах в случае, если такое участие может существенно отразиться на финансово-хозяйственной деятельности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Эмитент не участвовал/не участвует в судебных процессах, которые </w:t>
      </w:r>
      <w:proofErr w:type="gram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отразились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/могут отразиться на финансово-хозяйственной деятельности, в течение периода с даты начала последнего завершенного финансового года и до даты окончания отчетного квартала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36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VIII. Дополнительные сведения об эмитенте и о размещенных им эмиссионных ценных бумагах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8.1. Дополнительные сведения об эмитенте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 xml:space="preserve">8.1.1. Сведения о размере, структуре уставного (складочного) капитала (паевого фонда) </w:t>
      </w: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Размер уставного (складочного) капитала (паевого фонда) эмитента на дату окончания последнего отчетного квартала, руб.: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52 783 185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Обыкновенные акции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Общая номинальная стоимость: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52 783 185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Размер доли в УК, %: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100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Привилегированные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Общая номинальная стоимость: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0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Размер доли в УК, %: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0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информация о соответствии величины уставного капитала, приведенной в настоящем пункте, учредительным документам эмитента: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соответствует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8.1.2. Сведения об изменении размера уставного (складочного) капитала (паевого фонда)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Изменений размера УК за данный период не было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8.1.3. Сведения о порядке созыва и проведения собрания (заседания) высшего органа управления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высшего органа управления эмитента: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Годовое общее собрание акционеров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Порядок уведомления акционеров (участников) о проведении собрания (заседания) высшего органа управления эмитента: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Общее собрание акционеров созывается Советом директоров Общества. Сообщение о проведении Общего собрания акционеров и его повестке дня должно быть направлено каждому акционеру заказным почтовым отправлением, опубликовано в периодической печати не позднее, чем за 20 дней до даты его проведения, размещено на сайте Общества www.e-disclosure.ru/portal/company.aspx?id=3533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Лица (органы), которые вправе созывать (требовать проведения) внеочередного собрания (заседания) высшего органа управления эмитента, а также порядок направления (предъявления) таких требований:</w:t>
      </w:r>
      <w:proofErr w:type="gramEnd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Внеочередное Общее собрание акционеров созывается Советом директоров по собственной инициативе, по требованию Ревизионной комиссии Общества, аудитора или акционеров, владеющих не менее</w:t>
      </w:r>
      <w:proofErr w:type="gram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,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чем 10% акций Общества.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Порядок определения даты проведения собрания (заседания) высшего органа управления эмитента: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Общество обязано ежегодно проводить годовое Общее собрание акционеров не ранее 2 месяцев и не позднее 6 месяцев после окончания финансового года.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Лица, которые вправе вносить предложения в повестку дня собрания (заседания) высшего органа управления эмитента, а также порядок внесения таких предложений: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Акционеры, владеющие в совокупности не менее</w:t>
      </w:r>
      <w:proofErr w:type="gram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,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чем 2% голосующих акций Общества, в срок не позднее 30 дней после окончания финансового года вправе внести предложения в повестку дня годового Общего собрания акционеров и выдвинуть кандидатов в Совет директоров, на должность генерального директора и в Ревизионную комиссию Общества. При выдвижении указываются имя кандидата, количество принадлежащих ему акций, а также имена акционеров, выдвигающих кандидата, и количество принадлежащих им акций.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Лица, которые вправе ознакомиться с информацией (материалами), предоставляемыми для подготовки и проведения собрания (заседания) высшего органа управления эмитента, а также порядок ознакомления с такой информацией (материалами):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Годовая бухгалтерская отчетность, заключение ревизионной комиссии, проекты внутренних документов Общества, проекты решений Общего собрания акционеров должны быть доступны лицам, имеющим право на участие в Общем собрании акционеров.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Порядок оглашения (доведения до сведения акционеров (участников) эмитента) решений, принятых высшим органом управления эмитента, а также итогов голосования: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 в сети Интернет на странице www.e-disclosure.ru/portal/company.aspx?id=3533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8.1.4. Сведения о коммерческих организациях, в которых эмитент владеет не менее чем 5 процентами уставного (складочного) капитала (паевого фонда) либо не менее чем 5 процентами обыкновенных акций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Указанных организаций нет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8.1.5. Сведения о существенных сделках, совершенных эмитентом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За 202  г.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Указанные сделки в течение данного периода не совершалась 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отчетный квартал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Указанные сделки в течение данного периода  не совершалась 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8.1.6. Сведения о кредитных рейтингах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Известных эмитенту кредитных рейтингов нет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8.2. Сведения о каждой категории (типе) акций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Категория </w:t>
      </w:r>
      <w:proofErr w:type="spell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акций</w:t>
      </w: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о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быкновенные</w:t>
      </w:r>
      <w:proofErr w:type="spellEnd"/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Номинальная стоимость каждой акции (руб.):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5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Количество акций, находящихся в обращении (количество акций, которые не являются погашенными или аннулированными):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10 556 637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Количество дополнительных акций, которые могут быть размещены или находятся в процессе размещения (количество акций дополнительного выпуска, государственная регистрация которого осуществлена, но в </w:t>
      </w: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отношении</w:t>
      </w:r>
      <w:proofErr w:type="gramEnd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которого не осуществлена государственная регистрация отчета об итогах дополнительного выпуска или не представлено уведомление об итогах дополнительного выпуска в случае, если в соответствии с Федеральным законом «О рынке ценных бумаг» государственная регистрация отчета об итогах дополнительного выпуска акций не осуществляется):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0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Количество объявленных акций: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0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Количество акций, поступивших в распоряжение (находящихся на балансе) эмитента: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0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Количество дополнительных акций, которые могут быть размещены в результате конвертации размещенных ценных бумаг, конвертируемых в акции, или в результате исполнения обязательств по опционам эмитента: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0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Выпуски акций данной категории (типа):</w:t>
      </w:r>
    </w:p>
    <w:tbl>
      <w:tblPr>
        <w:tblW w:w="9255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893"/>
        <w:gridCol w:w="7362"/>
      </w:tblGrid>
      <w:tr w:rsidR="00BA17D2" w:rsidRPr="00BA17D2" w:rsidTr="00BA17D2">
        <w:tc>
          <w:tcPr>
            <w:tcW w:w="189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государственной регистрации</w:t>
            </w:r>
          </w:p>
        </w:tc>
        <w:tc>
          <w:tcPr>
            <w:tcW w:w="7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регистрационный номер выпуска</w:t>
            </w:r>
          </w:p>
        </w:tc>
      </w:tr>
      <w:tr w:rsidR="00BA17D2" w:rsidRPr="00BA17D2" w:rsidTr="00BA17D2">
        <w:tc>
          <w:tcPr>
            <w:tcW w:w="189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06.08.1997</w:t>
            </w:r>
          </w:p>
        </w:tc>
        <w:tc>
          <w:tcPr>
            <w:tcW w:w="7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BA17D2" w:rsidRPr="00BA17D2" w:rsidRDefault="00BA17D2" w:rsidP="00BA17D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03-1-347</w:t>
            </w:r>
          </w:p>
        </w:tc>
      </w:tr>
    </w:tbl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Права, предоставляемые акциями их владельцам:</w:t>
      </w:r>
      <w:proofErr w:type="gramStart"/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-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участвовать в Общем собрании акционеров с правом голоса по всем вопросам его компетенции;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- получать информацию о деятельности Общества в установленном ФЗ "Об акционерных обществах" порядке;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- получать в случае ликвидации Общества часть имущества, остающегося после расчетов с кредиторами, или его стоимость;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- отчуждать принадлежащие им акции без согласия других акционеров;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- иметь преимущественное право на покупку дополнительно выпускаемых Обществом акций, если иное не принято решением Общего собрания акционеров;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Акционеры, совокупная доля которых в уставном капитале Общества составляет 10 или более процентов, в любое время могут требовать проведения аудиторской проверки деятельности Общества.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Каждая обыкновенная акция дает ее владельцу один голос на Общем собрании акционеров.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>Если акционер не присутствует на Общем собрании акционеров, он имеет право выдать доверенность на участие  в Общем собрании акционеров с правом голоса по всем вопросам его компетенции своему представителю.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Иные сведения об акциях, указываемые эмитентом по собственному усмотрению:</w:t>
      </w: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8.3. Сведения о предыдущих выпусках эмиссионных ценных бумаг эмитента, за исключением акций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8.3.1. Сведения о выпусках, все ценные бумаги которых погашены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Указанных выпусков нет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8.3.2. Сведения о выпусках, ценные бумаги которых не являются погашенными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Указанных выпусков нет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8.4. Сведения о лице (лицах), предоставившем (предоставивших) обеспечение по облигациям эмитента с обеспечением, а также об условиях обеспечения исполнения обязательств по облигациям эмитента с обеспечением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Эмитент не регистрировал проспект облигаций с обеспечением, допуск к торгам на фондовой бирже биржевых облигаций не осуществлялся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8.4.1. Условия обеспечения исполнения обязательств по облигациям с ипотечным покрытием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Эмитент не размещал облигации с ипотечным покрытием, обязательства по которым еще не исполнены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8.5. Сведения об организациях, осуществляющих учет прав на эмиссионные ценные бумаги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Лицо, осуществляющее ведение реестра владельцев именных ценных бумаг эмитента: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регистратор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регистраторе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Полное фирменное наименование: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 Акционерное общество "Реестр"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Сокращенное фирменное наименование: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АО "Реестр"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нахождения: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119021 г. Москва, </w:t>
      </w:r>
      <w:proofErr w:type="spell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Зубовская</w:t>
      </w:r>
      <w:proofErr w:type="spell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пл., д.3, стр.2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7704028206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1027700047275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Данные о лицензии на осуществление деятельности по ведению реестра владельцев ценных бумаг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10-000-1-00254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выдачи: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13.09.2002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окончания действия: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8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Бессрочная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органа, выдавшего лицензию: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ФКЦБ (ФСФР) России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Дата, с которой регистратор осуществляет ведение реестра  владельцев ценных бумаг эмитента:</w:t>
      </w: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23.06.2000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Ведение реестра владельцев именных ценных бумаг эмитента осуществляет обособленное подразделение АО "Реестр" - Дагестанский филиал, Республика Дагестан, г. Махачкала, ул. </w:t>
      </w:r>
      <w:proofErr w:type="spell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Ярагского</w:t>
      </w:r>
      <w:proofErr w:type="spell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, 71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8.6. Сведения о законодательных актах, регулирующих вопросы импорта и экспорта капитала, которые могут повлиять на выплату дивидендов, процентов и других платежей нерезидентам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Эмитент не осуществлял экспорт и импорт капитала.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8.7. Описание порядка налогообложения доходов по размещенным и размещаемым эмиссионным ценным бумагам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 соответствии с Налоговым кодексом РФ.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 xml:space="preserve">8.8. </w:t>
      </w:r>
      <w:proofErr w:type="gramStart"/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Сведения об объявленных (начисленных) и о выплаченных дивидендах по акциям эмитента, а также о доходах по облигациям эмитента</w:t>
      </w:r>
      <w:proofErr w:type="gramEnd"/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8.8.1. Сведения об объявленных и выплаченных дивидендах по акциям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 течение указанного периода решений о выплате дивидендов эмитентом не принималось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8.8.2. Сведения о начисленных и выплаченных доходах по облигациям эмитента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Эмитент не осуществлял эмиссию облигаций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8.9. Иные сведения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нет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 xml:space="preserve">8.10. Сведения о представляемых ценных бумагах и эмитенте представляемых ценных бумаг, право </w:t>
      </w:r>
      <w:proofErr w:type="gramStart"/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>собственности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lang w:eastAsia="ru-RU"/>
        </w:rPr>
        <w:t xml:space="preserve"> на которые удостоверяется российскими депозитарными расписками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Эмитент не является эмитентом представляемых ценных бумаг, право </w:t>
      </w:r>
      <w:proofErr w:type="gramStart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собственности</w:t>
      </w:r>
      <w:proofErr w:type="gramEnd"/>
      <w:r w:rsidRPr="00BA17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на которые удостоверяется российскими депозитарными расписками.</w:t>
      </w:r>
    </w:p>
    <w:p w:rsidR="00BA17D2" w:rsidRPr="00BA17D2" w:rsidRDefault="00BA17D2" w:rsidP="00BA17D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17D2" w:rsidRPr="00BA17D2" w:rsidRDefault="00BA17D2" w:rsidP="00BA17D2">
      <w:pPr>
        <w:rPr>
          <w:rFonts w:ascii="Calibri" w:eastAsia="Times New Roman" w:hAnsi="Calibri" w:cs="Times New Roman"/>
        </w:rPr>
      </w:pPr>
    </w:p>
    <w:p w:rsidR="00BA17D2" w:rsidRPr="00BA17D2" w:rsidRDefault="00BA17D2" w:rsidP="00BA17D2">
      <w:pPr>
        <w:rPr>
          <w:rFonts w:ascii="Calibri" w:eastAsia="Times New Roman" w:hAnsi="Calibri" w:cs="Times New Roman"/>
        </w:rPr>
      </w:pPr>
    </w:p>
    <w:p w:rsidR="00BA17D2" w:rsidRPr="00BA17D2" w:rsidRDefault="00BA17D2" w:rsidP="00BA17D2">
      <w:pPr>
        <w:rPr>
          <w:rFonts w:ascii="Calibri" w:eastAsia="Times New Roman" w:hAnsi="Calibri" w:cs="Times New Roman"/>
        </w:rPr>
      </w:pPr>
    </w:p>
    <w:p w:rsidR="00BA17D2" w:rsidRPr="00BA17D2" w:rsidRDefault="00BA17D2" w:rsidP="00BA17D2">
      <w:pPr>
        <w:rPr>
          <w:rFonts w:ascii="Calibri" w:eastAsia="Times New Roman" w:hAnsi="Calibri" w:cs="Times New Roman"/>
        </w:rPr>
      </w:pPr>
    </w:p>
    <w:p w:rsidR="00BA17D2" w:rsidRPr="00BA17D2" w:rsidRDefault="00BA17D2" w:rsidP="00BA17D2">
      <w:pPr>
        <w:rPr>
          <w:rFonts w:ascii="Calibri" w:eastAsia="Times New Roman" w:hAnsi="Calibri" w:cs="Times New Roman"/>
        </w:rPr>
      </w:pPr>
    </w:p>
    <w:p w:rsidR="00BA17D2" w:rsidRPr="00BA17D2" w:rsidRDefault="00BA17D2" w:rsidP="00BA17D2">
      <w:pPr>
        <w:rPr>
          <w:rFonts w:ascii="Calibri" w:eastAsia="Times New Roman" w:hAnsi="Calibri" w:cs="Times New Roman"/>
        </w:rPr>
      </w:pPr>
    </w:p>
    <w:p w:rsidR="00BA17D2" w:rsidRPr="00BA17D2" w:rsidRDefault="00BA17D2" w:rsidP="00BA17D2">
      <w:pPr>
        <w:rPr>
          <w:rFonts w:ascii="Calibri" w:eastAsia="Calibri" w:hAnsi="Calibri" w:cs="Times New Roman"/>
        </w:rPr>
      </w:pPr>
    </w:p>
    <w:p w:rsidR="00BA17D2" w:rsidRPr="00BA17D2" w:rsidRDefault="00BA17D2" w:rsidP="00BA17D2">
      <w:pPr>
        <w:rPr>
          <w:rFonts w:ascii="Calibri" w:eastAsia="Calibri" w:hAnsi="Calibri" w:cs="Times New Roman"/>
        </w:rPr>
      </w:pPr>
    </w:p>
    <w:p w:rsidR="00BA17D2" w:rsidRPr="00BA17D2" w:rsidRDefault="00BA17D2" w:rsidP="00BA17D2">
      <w:pPr>
        <w:rPr>
          <w:rFonts w:ascii="Calibri" w:eastAsia="Calibri" w:hAnsi="Calibri" w:cs="Times New Roman"/>
        </w:rPr>
      </w:pPr>
    </w:p>
    <w:p w:rsidR="00BA17D2" w:rsidRPr="00BA17D2" w:rsidRDefault="00BA17D2" w:rsidP="00BA17D2">
      <w:pPr>
        <w:rPr>
          <w:rFonts w:ascii="Calibri" w:eastAsia="Calibri" w:hAnsi="Calibri" w:cs="Times New Roman"/>
        </w:rPr>
      </w:pPr>
    </w:p>
    <w:p w:rsidR="00BA17D2" w:rsidRPr="00BA17D2" w:rsidRDefault="00BA17D2" w:rsidP="00BA17D2">
      <w:pPr>
        <w:rPr>
          <w:rFonts w:ascii="Calibri" w:eastAsia="Calibri" w:hAnsi="Calibri" w:cs="Times New Roman"/>
        </w:rPr>
      </w:pPr>
    </w:p>
    <w:p w:rsidR="00BA17D2" w:rsidRPr="00BA17D2" w:rsidRDefault="00BA17D2" w:rsidP="00BA17D2">
      <w:pPr>
        <w:rPr>
          <w:rFonts w:ascii="Calibri" w:eastAsia="Calibri" w:hAnsi="Calibri" w:cs="Times New Roman"/>
        </w:rPr>
      </w:pPr>
    </w:p>
    <w:p w:rsidR="00BA17D2" w:rsidRPr="00BA17D2" w:rsidRDefault="00BA17D2" w:rsidP="00BA17D2">
      <w:pPr>
        <w:rPr>
          <w:rFonts w:ascii="Calibri" w:eastAsia="Calibri" w:hAnsi="Calibri" w:cs="Times New Roman"/>
        </w:rPr>
      </w:pPr>
    </w:p>
    <w:p w:rsidR="00BA17D2" w:rsidRPr="00BA17D2" w:rsidRDefault="00BA17D2" w:rsidP="00BA17D2">
      <w:pPr>
        <w:rPr>
          <w:rFonts w:ascii="Calibri" w:eastAsia="Calibri" w:hAnsi="Calibri" w:cs="Times New Roman"/>
        </w:rPr>
      </w:pPr>
    </w:p>
    <w:p w:rsidR="00BA17D2" w:rsidRPr="00BA17D2" w:rsidRDefault="00BA17D2" w:rsidP="00BA17D2">
      <w:pPr>
        <w:rPr>
          <w:rFonts w:ascii="Calibri" w:eastAsia="Calibri" w:hAnsi="Calibri" w:cs="Times New Roman"/>
        </w:rPr>
      </w:pPr>
      <w:r w:rsidRPr="00BA17D2">
        <w:rPr>
          <w:rFonts w:ascii="Calibri" w:eastAsia="Calibri" w:hAnsi="Calibri" w:cs="Times New Roman"/>
        </w:rPr>
        <w:tab/>
      </w:r>
    </w:p>
    <w:p w:rsidR="00BA17D2" w:rsidRPr="00BA17D2" w:rsidRDefault="00BA17D2" w:rsidP="00BA17D2">
      <w:pPr>
        <w:rPr>
          <w:rFonts w:ascii="Calibri" w:eastAsia="Calibri" w:hAnsi="Calibri" w:cs="Times New Roman"/>
        </w:rPr>
      </w:pPr>
    </w:p>
    <w:p w:rsidR="00BA17D2" w:rsidRPr="00BA17D2" w:rsidRDefault="00BA17D2" w:rsidP="00BA17D2">
      <w:pPr>
        <w:rPr>
          <w:rFonts w:ascii="Calibri" w:eastAsia="Calibri" w:hAnsi="Calibri" w:cs="Times New Roman"/>
        </w:rPr>
      </w:pPr>
    </w:p>
    <w:p w:rsidR="00BD7A27" w:rsidRDefault="00BD7A27"/>
    <w:sectPr w:rsidR="00BD7A2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57C" w:rsidRDefault="0070157C" w:rsidP="00BA17D2">
      <w:pPr>
        <w:spacing w:after="0" w:line="240" w:lineRule="auto"/>
      </w:pPr>
      <w:r>
        <w:separator/>
      </w:r>
    </w:p>
  </w:endnote>
  <w:endnote w:type="continuationSeparator" w:id="0">
    <w:p w:rsidR="0070157C" w:rsidRDefault="0070157C" w:rsidP="00BA1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2128964"/>
      <w:docPartObj>
        <w:docPartGallery w:val="Page Numbers (Bottom of Page)"/>
        <w:docPartUnique/>
      </w:docPartObj>
    </w:sdtPr>
    <w:sdtEndPr/>
    <w:sdtContent>
      <w:p w:rsidR="00BA17D2" w:rsidRDefault="00BA17D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DAC">
          <w:rPr>
            <w:noProof/>
          </w:rPr>
          <w:t>14</w:t>
        </w:r>
        <w:r>
          <w:fldChar w:fldCharType="end"/>
        </w:r>
      </w:p>
    </w:sdtContent>
  </w:sdt>
  <w:p w:rsidR="00BA17D2" w:rsidRDefault="00BA17D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57C" w:rsidRDefault="0070157C" w:rsidP="00BA17D2">
      <w:pPr>
        <w:spacing w:after="0" w:line="240" w:lineRule="auto"/>
      </w:pPr>
      <w:r>
        <w:separator/>
      </w:r>
    </w:p>
  </w:footnote>
  <w:footnote w:type="continuationSeparator" w:id="0">
    <w:p w:rsidR="0070157C" w:rsidRDefault="0070157C" w:rsidP="00BA17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7D2"/>
    <w:rsid w:val="0070157C"/>
    <w:rsid w:val="00BA17D2"/>
    <w:rsid w:val="00BD7A27"/>
    <w:rsid w:val="00E2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A17D2"/>
    <w:pPr>
      <w:widowControl w:val="0"/>
      <w:autoSpaceDE w:val="0"/>
      <w:autoSpaceDN w:val="0"/>
      <w:adjustRightInd w:val="0"/>
      <w:spacing w:before="36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A17D2"/>
    <w:pPr>
      <w:widowControl w:val="0"/>
      <w:autoSpaceDE w:val="0"/>
      <w:autoSpaceDN w:val="0"/>
      <w:adjustRightInd w:val="0"/>
      <w:spacing w:before="240" w:after="40" w:line="240" w:lineRule="auto"/>
      <w:outlineLvl w:val="1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A17D2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A17D2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A17D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A17D2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A17D2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BA17D2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BA17D2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17D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BA17D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semiHidden/>
    <w:rsid w:val="00BA17D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A17D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BA17D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BA17D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BA17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A17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BA17D2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A17D2"/>
  </w:style>
  <w:style w:type="paragraph" w:styleId="a3">
    <w:name w:val="header"/>
    <w:basedOn w:val="a"/>
    <w:link w:val="a4"/>
    <w:unhideWhenUsed/>
    <w:rsid w:val="00BA17D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rsid w:val="00BA17D2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BA17D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BA17D2"/>
    <w:rPr>
      <w:rFonts w:ascii="Calibri" w:eastAsia="Times New Roman" w:hAnsi="Calibri" w:cs="Times New Roman"/>
    </w:rPr>
  </w:style>
  <w:style w:type="paragraph" w:styleId="a7">
    <w:name w:val="Title"/>
    <w:basedOn w:val="a"/>
    <w:link w:val="a8"/>
    <w:qFormat/>
    <w:rsid w:val="00BA17D2"/>
    <w:pPr>
      <w:widowControl w:val="0"/>
      <w:autoSpaceDE w:val="0"/>
      <w:autoSpaceDN w:val="0"/>
      <w:adjustRightInd w:val="0"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8">
    <w:name w:val="Название Знак"/>
    <w:basedOn w:val="a0"/>
    <w:link w:val="a7"/>
    <w:rsid w:val="00BA17D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9">
    <w:name w:val="Body Text"/>
    <w:basedOn w:val="a"/>
    <w:link w:val="aa"/>
    <w:semiHidden/>
    <w:unhideWhenUsed/>
    <w:rsid w:val="00BA17D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BA17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ody Text Indent"/>
    <w:basedOn w:val="a"/>
    <w:link w:val="ac"/>
    <w:semiHidden/>
    <w:unhideWhenUsed/>
    <w:rsid w:val="00BA17D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BA17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Subtitle"/>
    <w:basedOn w:val="a"/>
    <w:link w:val="ae"/>
    <w:qFormat/>
    <w:rsid w:val="00BA17D2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BA17D2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BA17D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BA17D2"/>
    <w:rPr>
      <w:rFonts w:ascii="Arial" w:eastAsia="Times New Roman" w:hAnsi="Arial" w:cs="Times New Roman"/>
      <w:sz w:val="20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BA17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BA17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BA17D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A17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semiHidden/>
    <w:unhideWhenUsed/>
    <w:rsid w:val="00BA17D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BA17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semiHidden/>
    <w:unhideWhenUsed/>
    <w:rsid w:val="00BA17D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BA17D2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uiPriority w:val="1"/>
    <w:qFormat/>
    <w:rsid w:val="00BA17D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2">
    <w:name w:val="Верхний колонтитул Знак1"/>
    <w:basedOn w:val="a0"/>
    <w:uiPriority w:val="99"/>
    <w:semiHidden/>
    <w:rsid w:val="00BA17D2"/>
    <w:rPr>
      <w:rFonts w:ascii="Times New Roman" w:hAnsi="Times New Roman" w:cs="Times New Roman" w:hint="default"/>
    </w:rPr>
  </w:style>
  <w:style w:type="character" w:customStyle="1" w:styleId="13">
    <w:name w:val="Нижний колонтитул Знак1"/>
    <w:basedOn w:val="a0"/>
    <w:uiPriority w:val="99"/>
    <w:semiHidden/>
    <w:rsid w:val="00BA17D2"/>
    <w:rPr>
      <w:rFonts w:ascii="Times New Roman" w:hAnsi="Times New Roman" w:cs="Times New Roman" w:hint="default"/>
    </w:rPr>
  </w:style>
  <w:style w:type="character" w:customStyle="1" w:styleId="14">
    <w:name w:val="Название Знак1"/>
    <w:basedOn w:val="a0"/>
    <w:uiPriority w:val="10"/>
    <w:rsid w:val="00BA17D2"/>
    <w:rPr>
      <w:rFonts w:ascii="Cambria" w:hAnsi="Cambria" w:cs="Times New Roman" w:hint="default"/>
      <w:color w:val="17365D"/>
      <w:spacing w:val="5"/>
      <w:kern w:val="28"/>
      <w:sz w:val="52"/>
      <w:szCs w:val="52"/>
    </w:rPr>
  </w:style>
  <w:style w:type="character" w:customStyle="1" w:styleId="15">
    <w:name w:val="Основной текст Знак1"/>
    <w:basedOn w:val="a0"/>
    <w:uiPriority w:val="99"/>
    <w:semiHidden/>
    <w:rsid w:val="00BA17D2"/>
    <w:rPr>
      <w:rFonts w:ascii="Times New Roman" w:hAnsi="Times New Roman" w:cs="Times New Roman" w:hint="default"/>
    </w:rPr>
  </w:style>
  <w:style w:type="character" w:customStyle="1" w:styleId="16">
    <w:name w:val="Основной текст с отступом Знак1"/>
    <w:basedOn w:val="a0"/>
    <w:uiPriority w:val="99"/>
    <w:semiHidden/>
    <w:rsid w:val="00BA17D2"/>
    <w:rPr>
      <w:rFonts w:ascii="Times New Roman" w:hAnsi="Times New Roman" w:cs="Times New Roman" w:hint="default"/>
    </w:rPr>
  </w:style>
  <w:style w:type="character" w:customStyle="1" w:styleId="17">
    <w:name w:val="Подзаголовок Знак1"/>
    <w:basedOn w:val="a0"/>
    <w:uiPriority w:val="11"/>
    <w:rsid w:val="00BA17D2"/>
    <w:rPr>
      <w:rFonts w:ascii="Cambria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210">
    <w:name w:val="Основной текст 2 Знак1"/>
    <w:basedOn w:val="a0"/>
    <w:uiPriority w:val="99"/>
    <w:semiHidden/>
    <w:rsid w:val="00BA17D2"/>
    <w:rPr>
      <w:rFonts w:ascii="Times New Roman" w:hAnsi="Times New Roman" w:cs="Times New Roman" w:hint="default"/>
    </w:rPr>
  </w:style>
  <w:style w:type="character" w:customStyle="1" w:styleId="310">
    <w:name w:val="Основной текст 3 Знак1"/>
    <w:basedOn w:val="a0"/>
    <w:uiPriority w:val="99"/>
    <w:semiHidden/>
    <w:rsid w:val="00BA17D2"/>
    <w:rPr>
      <w:rFonts w:ascii="Times New Roman" w:hAnsi="Times New Roman" w:cs="Times New Roman" w:hint="default"/>
      <w:sz w:val="16"/>
      <w:szCs w:val="16"/>
    </w:rPr>
  </w:style>
  <w:style w:type="character" w:customStyle="1" w:styleId="211">
    <w:name w:val="Основной текст с отступом 2 Знак1"/>
    <w:basedOn w:val="a0"/>
    <w:uiPriority w:val="99"/>
    <w:semiHidden/>
    <w:rsid w:val="00BA17D2"/>
    <w:rPr>
      <w:rFonts w:ascii="Times New Roman" w:hAnsi="Times New Roman" w:cs="Times New Roman" w:hint="default"/>
    </w:rPr>
  </w:style>
  <w:style w:type="character" w:customStyle="1" w:styleId="311">
    <w:name w:val="Основной текст с отступом 3 Знак1"/>
    <w:basedOn w:val="a0"/>
    <w:uiPriority w:val="99"/>
    <w:semiHidden/>
    <w:rsid w:val="00BA17D2"/>
    <w:rPr>
      <w:rFonts w:ascii="Times New Roman" w:hAnsi="Times New Roman" w:cs="Times New Roman" w:hint="default"/>
      <w:sz w:val="16"/>
      <w:szCs w:val="16"/>
    </w:rPr>
  </w:style>
  <w:style w:type="character" w:customStyle="1" w:styleId="18">
    <w:name w:val="Текст выноски Знак1"/>
    <w:basedOn w:val="a0"/>
    <w:uiPriority w:val="99"/>
    <w:semiHidden/>
    <w:rsid w:val="00BA17D2"/>
    <w:rPr>
      <w:rFonts w:ascii="Tahoma" w:hAnsi="Tahoma" w:cs="Tahoma" w:hint="defaul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A17D2"/>
    <w:pPr>
      <w:widowControl w:val="0"/>
      <w:autoSpaceDE w:val="0"/>
      <w:autoSpaceDN w:val="0"/>
      <w:adjustRightInd w:val="0"/>
      <w:spacing w:before="36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A17D2"/>
    <w:pPr>
      <w:widowControl w:val="0"/>
      <w:autoSpaceDE w:val="0"/>
      <w:autoSpaceDN w:val="0"/>
      <w:adjustRightInd w:val="0"/>
      <w:spacing w:before="240" w:after="40" w:line="240" w:lineRule="auto"/>
      <w:outlineLvl w:val="1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A17D2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A17D2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A17D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A17D2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A17D2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BA17D2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BA17D2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17D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BA17D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semiHidden/>
    <w:rsid w:val="00BA17D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A17D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BA17D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BA17D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BA17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A17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BA17D2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A17D2"/>
  </w:style>
  <w:style w:type="paragraph" w:styleId="a3">
    <w:name w:val="header"/>
    <w:basedOn w:val="a"/>
    <w:link w:val="a4"/>
    <w:unhideWhenUsed/>
    <w:rsid w:val="00BA17D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rsid w:val="00BA17D2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BA17D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BA17D2"/>
    <w:rPr>
      <w:rFonts w:ascii="Calibri" w:eastAsia="Times New Roman" w:hAnsi="Calibri" w:cs="Times New Roman"/>
    </w:rPr>
  </w:style>
  <w:style w:type="paragraph" w:styleId="a7">
    <w:name w:val="Title"/>
    <w:basedOn w:val="a"/>
    <w:link w:val="a8"/>
    <w:qFormat/>
    <w:rsid w:val="00BA17D2"/>
    <w:pPr>
      <w:widowControl w:val="0"/>
      <w:autoSpaceDE w:val="0"/>
      <w:autoSpaceDN w:val="0"/>
      <w:adjustRightInd w:val="0"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8">
    <w:name w:val="Название Знак"/>
    <w:basedOn w:val="a0"/>
    <w:link w:val="a7"/>
    <w:rsid w:val="00BA17D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9">
    <w:name w:val="Body Text"/>
    <w:basedOn w:val="a"/>
    <w:link w:val="aa"/>
    <w:semiHidden/>
    <w:unhideWhenUsed/>
    <w:rsid w:val="00BA17D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BA17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ody Text Indent"/>
    <w:basedOn w:val="a"/>
    <w:link w:val="ac"/>
    <w:semiHidden/>
    <w:unhideWhenUsed/>
    <w:rsid w:val="00BA17D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BA17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Subtitle"/>
    <w:basedOn w:val="a"/>
    <w:link w:val="ae"/>
    <w:qFormat/>
    <w:rsid w:val="00BA17D2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BA17D2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BA17D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BA17D2"/>
    <w:rPr>
      <w:rFonts w:ascii="Arial" w:eastAsia="Times New Roman" w:hAnsi="Arial" w:cs="Times New Roman"/>
      <w:sz w:val="20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BA17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BA17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BA17D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A17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semiHidden/>
    <w:unhideWhenUsed/>
    <w:rsid w:val="00BA17D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BA17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semiHidden/>
    <w:unhideWhenUsed/>
    <w:rsid w:val="00BA17D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BA17D2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uiPriority w:val="1"/>
    <w:qFormat/>
    <w:rsid w:val="00BA17D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2">
    <w:name w:val="Верхний колонтитул Знак1"/>
    <w:basedOn w:val="a0"/>
    <w:uiPriority w:val="99"/>
    <w:semiHidden/>
    <w:rsid w:val="00BA17D2"/>
    <w:rPr>
      <w:rFonts w:ascii="Times New Roman" w:hAnsi="Times New Roman" w:cs="Times New Roman" w:hint="default"/>
    </w:rPr>
  </w:style>
  <w:style w:type="character" w:customStyle="1" w:styleId="13">
    <w:name w:val="Нижний колонтитул Знак1"/>
    <w:basedOn w:val="a0"/>
    <w:uiPriority w:val="99"/>
    <w:semiHidden/>
    <w:rsid w:val="00BA17D2"/>
    <w:rPr>
      <w:rFonts w:ascii="Times New Roman" w:hAnsi="Times New Roman" w:cs="Times New Roman" w:hint="default"/>
    </w:rPr>
  </w:style>
  <w:style w:type="character" w:customStyle="1" w:styleId="14">
    <w:name w:val="Название Знак1"/>
    <w:basedOn w:val="a0"/>
    <w:uiPriority w:val="10"/>
    <w:rsid w:val="00BA17D2"/>
    <w:rPr>
      <w:rFonts w:ascii="Cambria" w:hAnsi="Cambria" w:cs="Times New Roman" w:hint="default"/>
      <w:color w:val="17365D"/>
      <w:spacing w:val="5"/>
      <w:kern w:val="28"/>
      <w:sz w:val="52"/>
      <w:szCs w:val="52"/>
    </w:rPr>
  </w:style>
  <w:style w:type="character" w:customStyle="1" w:styleId="15">
    <w:name w:val="Основной текст Знак1"/>
    <w:basedOn w:val="a0"/>
    <w:uiPriority w:val="99"/>
    <w:semiHidden/>
    <w:rsid w:val="00BA17D2"/>
    <w:rPr>
      <w:rFonts w:ascii="Times New Roman" w:hAnsi="Times New Roman" w:cs="Times New Roman" w:hint="default"/>
    </w:rPr>
  </w:style>
  <w:style w:type="character" w:customStyle="1" w:styleId="16">
    <w:name w:val="Основной текст с отступом Знак1"/>
    <w:basedOn w:val="a0"/>
    <w:uiPriority w:val="99"/>
    <w:semiHidden/>
    <w:rsid w:val="00BA17D2"/>
    <w:rPr>
      <w:rFonts w:ascii="Times New Roman" w:hAnsi="Times New Roman" w:cs="Times New Roman" w:hint="default"/>
    </w:rPr>
  </w:style>
  <w:style w:type="character" w:customStyle="1" w:styleId="17">
    <w:name w:val="Подзаголовок Знак1"/>
    <w:basedOn w:val="a0"/>
    <w:uiPriority w:val="11"/>
    <w:rsid w:val="00BA17D2"/>
    <w:rPr>
      <w:rFonts w:ascii="Cambria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210">
    <w:name w:val="Основной текст 2 Знак1"/>
    <w:basedOn w:val="a0"/>
    <w:uiPriority w:val="99"/>
    <w:semiHidden/>
    <w:rsid w:val="00BA17D2"/>
    <w:rPr>
      <w:rFonts w:ascii="Times New Roman" w:hAnsi="Times New Roman" w:cs="Times New Roman" w:hint="default"/>
    </w:rPr>
  </w:style>
  <w:style w:type="character" w:customStyle="1" w:styleId="310">
    <w:name w:val="Основной текст 3 Знак1"/>
    <w:basedOn w:val="a0"/>
    <w:uiPriority w:val="99"/>
    <w:semiHidden/>
    <w:rsid w:val="00BA17D2"/>
    <w:rPr>
      <w:rFonts w:ascii="Times New Roman" w:hAnsi="Times New Roman" w:cs="Times New Roman" w:hint="default"/>
      <w:sz w:val="16"/>
      <w:szCs w:val="16"/>
    </w:rPr>
  </w:style>
  <w:style w:type="character" w:customStyle="1" w:styleId="211">
    <w:name w:val="Основной текст с отступом 2 Знак1"/>
    <w:basedOn w:val="a0"/>
    <w:uiPriority w:val="99"/>
    <w:semiHidden/>
    <w:rsid w:val="00BA17D2"/>
    <w:rPr>
      <w:rFonts w:ascii="Times New Roman" w:hAnsi="Times New Roman" w:cs="Times New Roman" w:hint="default"/>
    </w:rPr>
  </w:style>
  <w:style w:type="character" w:customStyle="1" w:styleId="311">
    <w:name w:val="Основной текст с отступом 3 Знак1"/>
    <w:basedOn w:val="a0"/>
    <w:uiPriority w:val="99"/>
    <w:semiHidden/>
    <w:rsid w:val="00BA17D2"/>
    <w:rPr>
      <w:rFonts w:ascii="Times New Roman" w:hAnsi="Times New Roman" w:cs="Times New Roman" w:hint="default"/>
      <w:sz w:val="16"/>
      <w:szCs w:val="16"/>
    </w:rPr>
  </w:style>
  <w:style w:type="character" w:customStyle="1" w:styleId="18">
    <w:name w:val="Текст выноски Знак1"/>
    <w:basedOn w:val="a0"/>
    <w:uiPriority w:val="99"/>
    <w:semiHidden/>
    <w:rsid w:val="00BA17D2"/>
    <w:rPr>
      <w:rFonts w:ascii="Tahoma" w:hAnsi="Tahoma" w:cs="Tahoma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12942</Words>
  <Characters>73776</Characters>
  <Application>Microsoft Office Word</Application>
  <DocSecurity>0</DocSecurity>
  <Lines>614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2026-02-13T08:54:00Z</cp:lastPrinted>
  <dcterms:created xsi:type="dcterms:W3CDTF">2026-02-13T08:49:00Z</dcterms:created>
  <dcterms:modified xsi:type="dcterms:W3CDTF">2026-02-20T13:47:00Z</dcterms:modified>
</cp:coreProperties>
</file>